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p>
    <w:p>
      <w:pPr>
        <w:pStyle w:val="TextBody"/>
        <w:spacing w:before="0" w:after="140"/>
        <w:rPr>
          <w:b w:val="false"/>
          <w:b w:val="false"/>
          <w:bCs w:val="false"/>
        </w:rPr>
      </w:pP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LibreOffice/7.3.7.2$Linux_X86_64 LibreOffice_project/30$Build-2</Application>
  <AppVersion>15.0000</AppVersion>
  <Pages>6</Pages>
  <Words>1458</Words>
  <Characters>7082</Characters>
  <CharactersWithSpaces>8573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2023-09-08T20:48:31Z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