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KPI_Reach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reachValue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[Final Score (REACH) NEW]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Your measure for Reach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Debugging: Check the reachValue for validation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reachValue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Determine the color based on reachValue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Red for scores from 1 - 16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"#FF8928"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Amber for scores from 17 -32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"#71B64B"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Green for scores from 33 - 40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Default to Red if out of bounds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Define bubble size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MinRadius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MaxRadius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ScalingFactor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Adjust this factor based on your needs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BubbleRadius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MinRadius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MaxRadius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Fixed text size for better visibility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Fixed larger font size for better visibility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TextYPosition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Manually adjust Y position to ensure text is vertically centered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the SVG block with the determined color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kpiBlock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"data:image/svg+xml;utf8,&lt;svg height='300' width='300' xmlns='http://www.w3.org/2000/svg'&gt;"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"&lt;circle cx='150' cy='150' r='"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BubbleRadius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stroke-width='2' fill='"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/&gt;"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"&lt;text x='150' y='"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TextYPosition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text-anchor='middle' fill='white' stroke-width='0px' font-size='"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"px' font-weight='bold'&gt;"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"&lt;/text&gt;"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"&lt;/svg&gt;"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HASONEFILTER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Input[Name of Sponsorship Property]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kpiBlock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