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4"/>
        </w:rPr>
        <w:t>CareerFlowOps: An End-to-End MLOps Pipeline for Explainable Job Ranking, Delivered on AWS</w:t>
      </w:r>
    </w:p>
    <w:p>
      <w:pPr>
        <w:spacing w:after="20"/>
        <w:jc w:val="center"/>
      </w:pPr>
      <w:r>
        <w:rPr>
          <w:rFonts w:ascii="Times New Roman" w:hAnsi="Times New Roman"/>
          <w:i w:val="0"/>
          <w:sz w:val="22"/>
        </w:rPr>
        <w:t>Utkarsh Lakhani (23070126064)</w:t>
      </w:r>
    </w:p>
    <w:p>
      <w:pPr>
        <w:spacing w:after="20"/>
        <w:jc w:val="center"/>
      </w:pPr>
      <w:r>
        <w:rPr>
          <w:rFonts w:ascii="Times New Roman" w:hAnsi="Times New Roman"/>
          <w:i/>
          <w:sz w:val="20"/>
        </w:rPr>
        <w:t>Department of Artificial Intelligence and Machine Learning</w:t>
      </w:r>
    </w:p>
    <w:p>
      <w:pPr>
        <w:spacing w:after="20"/>
        <w:jc w:val="center"/>
      </w:pPr>
      <w:r>
        <w:rPr>
          <w:rFonts w:ascii="Times New Roman" w:hAnsi="Times New Roman"/>
          <w:i/>
          <w:sz w:val="20"/>
        </w:rPr>
        <w:t>Symbiosis Institute of Technology, Pune, India</w:t>
      </w:r>
    </w:p>
    <w:p>
      <w:pPr>
        <w:spacing w:after="20"/>
        <w:jc w:val="center"/>
      </w:pPr>
      <w:r>
        <w:rPr>
          <w:rFonts w:ascii="Times New Roman" w:hAnsi="Times New Roman"/>
          <w:i w:val="0"/>
          <w:sz w:val="20"/>
        </w:rPr>
        <w:t>Guide: Prof. Shruti Sunnad</w:t>
      </w:r>
    </w:p>
    <w:p>
      <w:pPr>
        <w:spacing w:after="40"/>
      </w:pPr>
    </w:p>
    <w:p>
      <w:pPr>
        <w:sectPr>
          <w:pgSz w:w="12240" w:h="15840"/>
          <w:pgMar w:top="1080" w:right="900" w:bottom="1296" w:left="900" w:header="720" w:footer="720" w:gutter="0"/>
          <w:cols w:space="720"/>
          <w:docGrid w:linePitch="360"/>
        </w:sectPr>
      </w:pPr>
    </w:p>
    <w:p>
      <w:pPr>
        <w:spacing w:after="80"/>
        <w:ind w:firstLine="245"/>
        <w:jc w:val="both"/>
      </w:pPr>
      <w:r>
        <w:rPr>
          <w:rFonts w:ascii="Times New Roman" w:hAnsi="Times New Roman"/>
          <w:b/>
          <w:i/>
          <w:sz w:val="18"/>
        </w:rPr>
        <w:t>Abstract—</w:t>
      </w:r>
      <w:r>
        <w:rPr>
          <w:rFonts w:ascii="Times New Roman" w:hAnsi="Times New Roman"/>
          <w:b/>
          <w:i w:val="0"/>
          <w:sz w:val="18"/>
        </w:rPr>
        <w:t>Machine learning services usually fail in production because of the process around the model: data that cannot be reproduced, experiments that cannot be compared and releases that cannot be traced. This paper presents CareerFlowOps, a job-ranking application whose model is produced, delivered and monitored through a complete MLOps pipeline. Data and models are versioned with DVC in a seven-stage pipeline backed by an S3 remote. Twelve experiment runs and a model registry are tracked in MLflow. The selected ranker is exported as a checksummed bundle that the server verifies before it serves a request. GitHub Actions builds immutable container images, authenticates to AWS with OpenID Connect instead of stored keys, and deploys to an EC2 host through AWS Systems Manager. Prometheus and Grafana monitor the service, and Docker restart policies recover crashes. The system was deployed on 27 October 2026 and verified end to end: the live service reports the bundle it loaded, rejects unauthenticated requests, returns explained rankings and recovered from a simulated crash in about four seconds. The ranking benchmark is small (six fictional queries, 29 postings), so its metrics demonstrate the pipeline rather than ranking quality. This limit is stated, and the problems met during deployment are documented.</w:t>
      </w:r>
    </w:p>
    <w:p>
      <w:pPr>
        <w:spacing w:after="80"/>
        <w:ind w:firstLine="245"/>
        <w:jc w:val="both"/>
      </w:pPr>
      <w:r>
        <w:rPr>
          <w:rFonts w:ascii="Times New Roman" w:hAnsi="Times New Roman"/>
          <w:b/>
          <w:i/>
          <w:sz w:val="18"/>
        </w:rPr>
        <w:t>Index Terms—</w:t>
      </w:r>
      <w:r>
        <w:rPr>
          <w:rFonts w:ascii="Times New Roman" w:hAnsi="Times New Roman"/>
          <w:b/>
          <w:i w:val="0"/>
          <w:sz w:val="18"/>
        </w:rPr>
        <w:t>MLOps, DVC, MLflow, CI/CD, GitHub Actions, AWS, Docker, model deployment, explainable ranking.</w:t>
      </w:r>
    </w:p>
    <w:p>
      <w:pPr>
        <w:keepNext/>
        <w:spacing w:before="160" w:after="80"/>
        <w:jc w:val="center"/>
      </w:pPr>
      <w:r>
        <w:rPr>
          <w:rFonts w:ascii="Times New Roman" w:hAnsi="Times New Roman"/>
          <w:sz w:val="20"/>
        </w:rPr>
        <w:t>I. INTRODUCTION</w:t>
      </w:r>
    </w:p>
    <w:p>
      <w:pPr>
        <w:spacing w:after="60" w:before="0" w:line="240" w:lineRule="auto"/>
        <w:ind w:firstLine="245"/>
        <w:jc w:val="both"/>
      </w:pPr>
      <w:r>
        <w:rPr>
          <w:rFonts w:ascii="Times New Roman" w:hAnsi="Times New Roman"/>
          <w:b w:val="0"/>
          <w:i w:val="0"/>
          <w:sz w:val="20"/>
        </w:rPr>
        <w:t>A trained model is a small part of a machine learning system. Sculley et al. describe how data dependencies, configuration and glue code accumulate hidden technical debt around it [1]. MLOps applies the practices of DevOps to this problem: version control, automated testing, continuous delivery and monitoring, extended from code to data and models [2].</w:t>
      </w:r>
    </w:p>
    <w:p>
      <w:pPr>
        <w:spacing w:after="60" w:before="0" w:line="240" w:lineRule="auto"/>
        <w:ind w:firstLine="245"/>
        <w:jc w:val="both"/>
      </w:pPr>
      <w:r>
        <w:rPr>
          <w:rFonts w:ascii="Times New Roman" w:hAnsi="Times New Roman"/>
          <w:b w:val="0"/>
          <w:i w:val="0"/>
          <w:sz w:val="20"/>
        </w:rPr>
        <w:t>This paper reports a complete, small-scale application of those practices. CareerFlowOps ranks job postings collected from public employer job boards against a candidate's skills and explains each ranking. The product is modest. The contribution is the path its model takes from raw data to a verified, monitored service on AWS, and the evidence that each step works. The contributions are:</w:t>
      </w:r>
    </w:p>
    <w:p>
      <w:pPr>
        <w:spacing w:after="40" w:line="240" w:lineRule="auto"/>
        <w:ind w:left="432" w:hanging="288"/>
        <w:jc w:val="both"/>
      </w:pPr>
      <w:r>
        <w:rPr>
          <w:rFonts w:ascii="Times New Roman" w:hAnsi="Times New Roman"/>
          <w:b w:val="0"/>
          <w:i w:val="0"/>
          <w:sz w:val="20"/>
        </w:rPr>
        <w:t>1) a seven-stage reproducible pipeline in which settings, data and models are versioned (DVC) and every run is recorded (MLflow);</w:t>
      </w:r>
    </w:p>
    <w:p>
      <w:pPr>
        <w:spacing w:after="40" w:line="240" w:lineRule="auto"/>
        <w:ind w:left="432" w:hanging="288"/>
        <w:jc w:val="both"/>
      </w:pPr>
      <w:r>
        <w:rPr>
          <w:rFonts w:ascii="Times New Roman" w:hAnsi="Times New Roman"/>
          <w:b w:val="0"/>
          <w:i w:val="0"/>
          <w:sz w:val="20"/>
        </w:rPr>
        <w:t>2) a model bundle with a manifest and checksums, and a server that refuses to serve any other model (fail-closed serving);</w:t>
      </w:r>
    </w:p>
    <w:p>
      <w:pPr>
        <w:spacing w:after="40" w:line="240" w:lineRule="auto"/>
        <w:ind w:left="432" w:hanging="288"/>
        <w:jc w:val="both"/>
      </w:pPr>
      <w:r>
        <w:rPr>
          <w:rFonts w:ascii="Times New Roman" w:hAnsi="Times New Roman"/>
          <w:b w:val="0"/>
          <w:i w:val="0"/>
          <w:sz w:val="20"/>
        </w:rPr>
        <w:t>3) a keyless CI/CD path from GitHub Actions to AWS using OpenID Connect, immutable image tags and a deploy step that compares the running model with the delivered manifest;</w:t>
      </w:r>
    </w:p>
    <w:p>
      <w:pPr>
        <w:spacing w:after="40" w:line="240" w:lineRule="auto"/>
        <w:ind w:left="432" w:hanging="288"/>
        <w:jc w:val="both"/>
      </w:pPr>
      <w:r>
        <w:rPr>
          <w:rFonts w:ascii="Times New Roman" w:hAnsi="Times New Roman"/>
          <w:b w:val="0"/>
          <w:i w:val="0"/>
          <w:sz w:val="20"/>
        </w:rPr>
        <w:t>4) an end-to-end verification of the live deployment, with an account of the problems met.</w:t>
      </w:r>
    </w:p>
    <w:p>
      <w:pPr>
        <w:spacing w:after="60" w:before="40" w:line="240" w:lineRule="auto"/>
        <w:ind w:firstLine="245"/>
        <w:jc w:val="both"/>
      </w:pPr>
      <w:r>
        <w:rPr>
          <w:rFonts w:ascii="Times New Roman" w:hAnsi="Times New Roman"/>
          <w:b w:val="0"/>
          <w:i w:val="0"/>
          <w:sz w:val="20"/>
        </w:rPr>
        <w:t>Section II gives background, Section III the system, Section IV the data and model, Section V the MLOps pipeline, Section VI the CI/CD and cloud deployment, Section VII monitoring, Section VIII the evaluation, and Sections IX to XI lessons, limits and conclusions.</w:t>
      </w:r>
    </w:p>
    <w:p>
      <w:pPr>
        <w:keepNext/>
        <w:spacing w:before="160" w:after="80"/>
        <w:jc w:val="center"/>
      </w:pPr>
      <w:r>
        <w:rPr>
          <w:rFonts w:ascii="Times New Roman" w:hAnsi="Times New Roman"/>
          <w:sz w:val="20"/>
        </w:rPr>
        <w:t>II. BACKGROUND AND RELATED WORK</w:t>
      </w:r>
    </w:p>
    <w:p>
      <w:pPr>
        <w:keepNext/>
        <w:spacing w:before="80" w:after="40"/>
        <w:jc w:val="left"/>
      </w:pPr>
      <w:r>
        <w:rPr>
          <w:rFonts w:ascii="Times New Roman" w:hAnsi="Times New Roman"/>
          <w:i/>
          <w:sz w:val="20"/>
        </w:rPr>
        <w:t>A. MLOps and experiment management</w:t>
      </w:r>
    </w:p>
    <w:p>
      <w:pPr>
        <w:spacing w:after="60" w:before="0" w:line="240" w:lineRule="auto"/>
        <w:ind w:firstLine="245"/>
        <w:jc w:val="both"/>
      </w:pPr>
      <w:r>
        <w:rPr>
          <w:rFonts w:ascii="Times New Roman" w:hAnsi="Times New Roman"/>
          <w:b w:val="0"/>
          <w:i w:val="0"/>
          <w:sz w:val="20"/>
        </w:rPr>
        <w:t>Kreuzberger et al. survey MLOps and propose an architecture with components for data and model management, CI/CD and monitoring [2]. MLflow records the parameters, metrics and artifacts of each run and provides a model registry [3]. DVC extends Git with pipeline definitions and content-addressed storage for large files, and keeps a hash of every stage input and output in a lock file [4]. CI/CD automates build, test and release [5]; here it is applied to a model and its container image.</w:t>
      </w:r>
    </w:p>
    <w:p>
      <w:pPr>
        <w:keepNext/>
        <w:spacing w:before="80" w:after="40"/>
        <w:jc w:val="left"/>
      </w:pPr>
      <w:r>
        <w:rPr>
          <w:rFonts w:ascii="Times New Roman" w:hAnsi="Times New Roman"/>
          <w:i/>
          <w:sz w:val="20"/>
        </w:rPr>
        <w:t>B. Retrieval models and ranking metrics</w:t>
      </w:r>
    </w:p>
    <w:p>
      <w:pPr>
        <w:spacing w:after="60" w:before="0" w:line="240" w:lineRule="auto"/>
        <w:ind w:firstLine="245"/>
        <w:jc w:val="both"/>
      </w:pPr>
      <w:r>
        <w:rPr>
          <w:rFonts w:ascii="Times New Roman" w:hAnsi="Times New Roman"/>
          <w:b w:val="0"/>
          <w:i w:val="0"/>
          <w:sz w:val="20"/>
        </w:rPr>
        <w:t>TF-IDF weights a term by its frequency in a document and its rarity across a collection [6]. Sentence-BERT produces sentence embeddings that can be compared by cosine similarity [7]. The embedding model used here, all-MiniLM-L6-v2, is built on the compact MiniLM architecture [8]. Ranking quality is measured with metrics such as mean reciprocal rank (MRR) and normalized discounted cumulative gain (nDCG), which reward placing relevant items early [9].</w:t>
      </w:r>
    </w:p>
    <w:p>
      <w:pPr>
        <w:spacing w:after="60" w:before="0" w:line="240" w:lineRule="auto"/>
        <w:ind w:firstLine="245"/>
        <w:jc w:val="both"/>
      </w:pPr>
      <w:r>
        <w:rPr>
          <w:rFonts w:ascii="Times New Roman" w:hAnsi="Times New Roman"/>
          <w:b w:val="0"/>
          <w:i w:val="0"/>
          <w:sz w:val="20"/>
        </w:rPr>
        <w:t>This work proposes no new algorithm. It is a case study of how these established parts fit together in a small production system.</w:t>
      </w:r>
    </w:p>
    <w:p>
      <w:pPr>
        <w:keepNext/>
        <w:spacing w:before="160" w:after="80"/>
        <w:jc w:val="center"/>
      </w:pPr>
      <w:r>
        <w:rPr>
          <w:rFonts w:ascii="Times New Roman" w:hAnsi="Times New Roman"/>
          <w:sz w:val="20"/>
        </w:rPr>
        <w:t>III. SYSTEM OVERVIEW</w:t>
      </w:r>
    </w:p>
    <w:p>
      <w:pPr>
        <w:spacing w:after="60" w:before="0" w:line="240" w:lineRule="auto"/>
        <w:ind w:firstLine="245"/>
        <w:jc w:val="both"/>
      </w:pPr>
      <w:r>
        <w:rPr>
          <w:rFonts w:ascii="Times New Roman" w:hAnsi="Times New Roman"/>
          <w:b w:val="0"/>
          <w:i w:val="0"/>
          <w:sz w:val="20"/>
        </w:rPr>
        <w:t>The application has a React web portal, a FastAPI backend, a PostgreSQL database and a ranking model. A candidate stores a profile of skills. The backend scores active postings against the profile and returns the best matches, each with an explanation and the employer's official apply link. The system never submits an application.</w:t>
      </w:r>
    </w:p>
    <w:p>
      <w:pPr>
        <w:spacing w:after="60" w:before="0" w:line="240" w:lineRule="auto"/>
        <w:ind w:firstLine="245"/>
        <w:jc w:val="both"/>
      </w:pPr>
      <w:r>
        <w:rPr>
          <w:rFonts w:ascii="Times New Roman" w:hAnsi="Times New Roman"/>
          <w:b w:val="0"/>
          <w:i w:val="0"/>
          <w:sz w:val="20"/>
        </w:rPr>
        <w:t>Postings come from the official public endpoints of Greenhouse, Lever and Ashby. Each job keeps its source name, source job ID, source URL and apply URL. Raw payloads are stored apart from normalized records, and duplicate detection never removes provenance.</w:t>
      </w:r>
    </w:p>
    <w:p>
      <w:pPr>
        <w:spacing w:after="60" w:before="0" w:line="240" w:lineRule="auto"/>
        <w:ind w:firstLine="245"/>
        <w:jc w:val="both"/>
      </w:pPr>
      <w:r>
        <w:rPr>
          <w:rFonts w:ascii="Times New Roman" w:hAnsi="Times New Roman"/>
          <w:b w:val="0"/>
          <w:i w:val="0"/>
          <w:sz w:val="20"/>
        </w:rPr>
        <w:t>Fig. 1 shows the lifecycle that carries the model from raw data to a prediction, and Fig. 2 shows how an image and a model reach the server. In production all services run as Docker Compose containers on one EC2 host (Table I). Only ports 80 and 443 are public.</w:t>
      </w:r>
    </w:p>
    <w:p>
      <w:pPr>
        <w:keepNext/>
        <w:spacing w:before="80" w:after="40"/>
        <w:jc w:val="center"/>
      </w:pPr>
      <w:r>
        <w:drawing>
          <wp:inline xmlns:a="http://schemas.openxmlformats.org/drawingml/2006/main" xmlns:pic="http://schemas.openxmlformats.org/drawingml/2006/picture">
            <wp:extent cx="2103120" cy="2947047"/>
            <wp:docPr id="1" name="Picture 1"/>
            <wp:cNvGraphicFramePr>
              <a:graphicFrameLocks noChangeAspect="1"/>
            </wp:cNvGraphicFramePr>
            <a:graphic>
              <a:graphicData uri="http://schemas.openxmlformats.org/drawingml/2006/picture">
                <pic:pic>
                  <pic:nvPicPr>
                    <pic:cNvPr id="0" name="fig_pipeline_small.png"/>
                    <pic:cNvPicPr/>
                  </pic:nvPicPr>
                  <pic:blipFill>
                    <a:blip r:embed="rId9"/>
                    <a:stretch>
                      <a:fillRect/>
                    </a:stretch>
                  </pic:blipFill>
                  <pic:spPr>
                    <a:xfrm>
                      <a:off x="0" y="0"/>
                      <a:ext cx="2103120" cy="2947047"/>
                    </a:xfrm>
                    <a:prstGeom prst="rect"/>
                  </pic:spPr>
                </pic:pic>
              </a:graphicData>
            </a:graphic>
          </wp:inline>
        </w:drawing>
      </w:r>
    </w:p>
    <w:p>
      <w:pPr>
        <w:spacing w:after="120"/>
        <w:jc w:val="both"/>
      </w:pPr>
      <w:r>
        <w:rPr>
          <w:rFonts w:ascii="Times New Roman" w:hAnsi="Times New Roman"/>
          <w:b w:val="0"/>
          <w:i w:val="0"/>
          <w:sz w:val="16"/>
        </w:rPr>
        <w:t>Fig. 1. Lifecycle from versioned raw data to a client prediction.</w:t>
      </w:r>
    </w:p>
    <w:p>
      <w:pPr>
        <w:keepNext/>
        <w:spacing w:before="120" w:after="0"/>
        <w:jc w:val="center"/>
      </w:pPr>
      <w:r>
        <w:rPr>
          <w:rFonts w:ascii="Times New Roman" w:hAnsi="Times New Roman"/>
          <w:sz w:val="16"/>
        </w:rPr>
        <w:t>TABLE I</w:t>
      </w:r>
    </w:p>
    <w:p>
      <w:pPr>
        <w:keepNext/>
        <w:spacing w:after="60"/>
        <w:jc w:val="center"/>
      </w:pPr>
      <w:r>
        <w:rPr>
          <w:rFonts w:ascii="Times New Roman" w:hAnsi="Times New Roman"/>
          <w:sz w:val="16"/>
        </w:rPr>
        <w:t>CONTAINERS ON THE PRODUCTION HOST</w:t>
      </w:r>
    </w:p>
    <w:tbl>
      <w:tblPr>
        <w:tblStyle w:val="TableGrid"/>
        <w:tblW w:type="auto" w:w="0"/>
        <w:jc w:val="center"/>
        <w:tblLayout w:type="fixed"/>
        <w:tblLook w:firstColumn="1" w:firstRow="1" w:lastColumn="0" w:lastRow="0" w:noHBand="0" w:noVBand="1" w:val="04A0"/>
      </w:tblPr>
      <w:tblGrid>
        <w:gridCol w:w="5220"/>
        <w:gridCol w:w="5220"/>
      </w:tblGrid>
      <w:tr>
        <w:tc>
          <w:tcPr>
            <w:tcW w:type="dxa" w:w="1800"/>
            <w:shd w:val="clear" w:color="auto" w:fill="E7E6E6"/>
          </w:tcPr>
          <w:p>
            <w:pPr>
              <w:keepNext/>
              <w:spacing w:after="0" w:line="240" w:lineRule="auto"/>
              <w:jc w:val="left"/>
            </w:pPr>
            <w:r>
              <w:rPr>
                <w:rFonts w:ascii="Times New Roman" w:hAnsi="Times New Roman"/>
                <w:b/>
                <w:i w:val="0"/>
                <w:sz w:val="16"/>
              </w:rPr>
              <w:t>Container</w:t>
            </w:r>
          </w:p>
        </w:tc>
        <w:tc>
          <w:tcPr>
            <w:tcW w:type="dxa" w:w="3096"/>
            <w:shd w:val="clear" w:color="auto" w:fill="E7E6E6"/>
          </w:tcPr>
          <w:p>
            <w:pPr>
              <w:keepNext/>
              <w:spacing w:after="0" w:line="240" w:lineRule="auto"/>
              <w:jc w:val="left"/>
            </w:pPr>
            <w:r>
              <w:rPr>
                <w:rFonts w:ascii="Times New Roman" w:hAnsi="Times New Roman"/>
                <w:b/>
                <w:i w:val="0"/>
                <w:sz w:val="16"/>
              </w:rPr>
              <w:t>Role</w:t>
            </w:r>
          </w:p>
        </w:tc>
      </w:tr>
      <w:tr>
        <w:tc>
          <w:tcPr>
            <w:tcW w:type="dxa" w:w="1800"/>
          </w:tcPr>
          <w:p>
            <w:pPr>
              <w:keepNext/>
              <w:spacing w:after="0" w:line="240" w:lineRule="auto"/>
              <w:jc w:val="left"/>
            </w:pPr>
            <w:r>
              <w:rPr>
                <w:rFonts w:ascii="Times New Roman" w:hAnsi="Times New Roman"/>
                <w:b w:val="0"/>
                <w:i w:val="0"/>
                <w:sz w:val="16"/>
              </w:rPr>
              <w:t>api</w:t>
            </w:r>
          </w:p>
        </w:tc>
        <w:tc>
          <w:tcPr>
            <w:tcW w:type="dxa" w:w="3096"/>
          </w:tcPr>
          <w:p>
            <w:pPr>
              <w:keepNext/>
              <w:spacing w:after="0" w:line="240" w:lineRule="auto"/>
              <w:jc w:val="left"/>
            </w:pPr>
            <w:r>
              <w:rPr>
                <w:rFonts w:ascii="Times New Roman" w:hAnsi="Times New Roman"/>
                <w:b w:val="0"/>
                <w:i w:val="0"/>
                <w:sz w:val="16"/>
              </w:rPr>
              <w:t>FastAPI; applies migrations, serves rankings</w:t>
            </w:r>
          </w:p>
        </w:tc>
      </w:tr>
      <w:tr>
        <w:tc>
          <w:tcPr>
            <w:tcW w:type="dxa" w:w="1800"/>
          </w:tcPr>
          <w:p>
            <w:pPr>
              <w:keepNext/>
              <w:spacing w:after="0" w:line="240" w:lineRule="auto"/>
              <w:jc w:val="left"/>
            </w:pPr>
            <w:r>
              <w:rPr>
                <w:rFonts w:ascii="Times New Roman" w:hAnsi="Times New Roman"/>
                <w:b w:val="0"/>
                <w:i w:val="0"/>
                <w:sz w:val="16"/>
              </w:rPr>
              <w:t>web</w:t>
            </w:r>
          </w:p>
        </w:tc>
        <w:tc>
          <w:tcPr>
            <w:tcW w:type="dxa" w:w="3096"/>
          </w:tcPr>
          <w:p>
            <w:pPr>
              <w:keepNext/>
              <w:spacing w:after="0" w:line="240" w:lineRule="auto"/>
              <w:jc w:val="left"/>
            </w:pPr>
            <w:r>
              <w:rPr>
                <w:rFonts w:ascii="Times New Roman" w:hAnsi="Times New Roman"/>
                <w:b w:val="0"/>
                <w:i w:val="0"/>
                <w:sz w:val="16"/>
              </w:rPr>
              <w:t>nginx serving the React build</w:t>
            </w:r>
          </w:p>
        </w:tc>
      </w:tr>
      <w:tr>
        <w:tc>
          <w:tcPr>
            <w:tcW w:type="dxa" w:w="1800"/>
          </w:tcPr>
          <w:p>
            <w:pPr>
              <w:keepNext/>
              <w:spacing w:after="0" w:line="240" w:lineRule="auto"/>
              <w:jc w:val="left"/>
            </w:pPr>
            <w:r>
              <w:rPr>
                <w:rFonts w:ascii="Times New Roman" w:hAnsi="Times New Roman"/>
                <w:b w:val="0"/>
                <w:i w:val="0"/>
                <w:sz w:val="16"/>
              </w:rPr>
              <w:t>postgres</w:t>
            </w:r>
          </w:p>
        </w:tc>
        <w:tc>
          <w:tcPr>
            <w:tcW w:type="dxa" w:w="3096"/>
          </w:tcPr>
          <w:p>
            <w:pPr>
              <w:keepNext/>
              <w:spacing w:after="0" w:line="240" w:lineRule="auto"/>
              <w:jc w:val="left"/>
            </w:pPr>
            <w:r>
              <w:rPr>
                <w:rFonts w:ascii="Times New Roman" w:hAnsi="Times New Roman"/>
                <w:b w:val="0"/>
                <w:i w:val="0"/>
                <w:sz w:val="16"/>
              </w:rPr>
              <w:t>Jobs, profiles, applications</w:t>
            </w:r>
          </w:p>
        </w:tc>
      </w:tr>
      <w:tr>
        <w:tc>
          <w:tcPr>
            <w:tcW w:type="dxa" w:w="1800"/>
          </w:tcPr>
          <w:p>
            <w:pPr>
              <w:keepNext/>
              <w:spacing w:after="0" w:line="240" w:lineRule="auto"/>
              <w:jc w:val="left"/>
            </w:pPr>
            <w:r>
              <w:rPr>
                <w:rFonts w:ascii="Times New Roman" w:hAnsi="Times New Roman"/>
                <w:b w:val="0"/>
                <w:i w:val="0"/>
                <w:sz w:val="16"/>
              </w:rPr>
              <w:t>mlflow</w:t>
            </w:r>
          </w:p>
        </w:tc>
        <w:tc>
          <w:tcPr>
            <w:tcW w:type="dxa" w:w="3096"/>
          </w:tcPr>
          <w:p>
            <w:pPr>
              <w:keepNext/>
              <w:spacing w:after="0" w:line="240" w:lineRule="auto"/>
              <w:jc w:val="left"/>
            </w:pPr>
            <w:r>
              <w:rPr>
                <w:rFonts w:ascii="Times New Roman" w:hAnsi="Times New Roman"/>
                <w:b w:val="0"/>
                <w:i w:val="0"/>
                <w:sz w:val="16"/>
              </w:rPr>
              <w:t>Experiment tracking and registry</w:t>
            </w:r>
          </w:p>
        </w:tc>
      </w:tr>
      <w:tr>
        <w:tc>
          <w:tcPr>
            <w:tcW w:type="dxa" w:w="1800"/>
          </w:tcPr>
          <w:p>
            <w:pPr>
              <w:keepNext/>
              <w:spacing w:after="0" w:line="240" w:lineRule="auto"/>
              <w:jc w:val="left"/>
            </w:pPr>
            <w:r>
              <w:rPr>
                <w:rFonts w:ascii="Times New Roman" w:hAnsi="Times New Roman"/>
                <w:b w:val="0"/>
                <w:i w:val="0"/>
                <w:sz w:val="16"/>
              </w:rPr>
              <w:t>edge</w:t>
            </w:r>
          </w:p>
        </w:tc>
        <w:tc>
          <w:tcPr>
            <w:tcW w:type="dxa" w:w="3096"/>
          </w:tcPr>
          <w:p>
            <w:pPr>
              <w:keepNext/>
              <w:spacing w:after="0" w:line="240" w:lineRule="auto"/>
              <w:jc w:val="left"/>
            </w:pPr>
            <w:r>
              <w:rPr>
                <w:rFonts w:ascii="Times New Roman" w:hAnsi="Times New Roman"/>
                <w:b w:val="0"/>
                <w:i w:val="0"/>
                <w:sz w:val="16"/>
              </w:rPr>
              <w:t>Caddy: HTTPS and routing</w:t>
            </w:r>
          </w:p>
        </w:tc>
      </w:tr>
      <w:tr>
        <w:tc>
          <w:tcPr>
            <w:tcW w:type="dxa" w:w="1800"/>
          </w:tcPr>
          <w:p>
            <w:pPr>
              <w:spacing w:after="0" w:line="240" w:lineRule="auto"/>
              <w:jc w:val="left"/>
            </w:pPr>
            <w:r>
              <w:rPr>
                <w:rFonts w:ascii="Times New Roman" w:hAnsi="Times New Roman"/>
                <w:b w:val="0"/>
                <w:i w:val="0"/>
                <w:sz w:val="16"/>
              </w:rPr>
              <w:t>prometheus, grafana</w:t>
            </w:r>
          </w:p>
        </w:tc>
        <w:tc>
          <w:tcPr>
            <w:tcW w:type="dxa" w:w="3096"/>
          </w:tcPr>
          <w:p>
            <w:pPr>
              <w:spacing w:after="0" w:line="240" w:lineRule="auto"/>
              <w:jc w:val="left"/>
            </w:pPr>
            <w:r>
              <w:rPr>
                <w:rFonts w:ascii="Times New Roman" w:hAnsi="Times New Roman"/>
                <w:b w:val="0"/>
                <w:i w:val="0"/>
                <w:sz w:val="16"/>
              </w:rPr>
              <w:t>Metrics and dashboards</w:t>
            </w:r>
          </w:p>
        </w:tc>
      </w:tr>
    </w:tbl>
    <w:p>
      <w:pPr>
        <w:spacing w:after="40"/>
      </w:pPr>
    </w:p>
    <w:p>
      <w:pPr>
        <w:keepNext/>
        <w:spacing w:before="160" w:after="80"/>
        <w:jc w:val="center"/>
      </w:pPr>
      <w:r>
        <w:rPr>
          <w:rFonts w:ascii="Times New Roman" w:hAnsi="Times New Roman"/>
          <w:sz w:val="20"/>
        </w:rPr>
        <w:t>IV. DATA AND RANKING MODEL</w:t>
      </w:r>
    </w:p>
    <w:p>
      <w:pPr>
        <w:keepNext/>
        <w:spacing w:before="80" w:after="40"/>
        <w:jc w:val="left"/>
      </w:pPr>
      <w:r>
        <w:rPr>
          <w:rFonts w:ascii="Times New Roman" w:hAnsi="Times New Roman"/>
          <w:i/>
          <w:sz w:val="20"/>
        </w:rPr>
        <w:t>A. Evaluation data</w:t>
      </w:r>
    </w:p>
    <w:p>
      <w:pPr>
        <w:spacing w:after="60" w:before="0" w:line="240" w:lineRule="auto"/>
        <w:ind w:firstLine="245"/>
        <w:jc w:val="both"/>
      </w:pPr>
      <w:r>
        <w:rPr>
          <w:rFonts w:ascii="Times New Roman" w:hAnsi="Times New Roman"/>
          <w:b w:val="0"/>
          <w:i w:val="0"/>
          <w:sz w:val="20"/>
        </w:rPr>
        <w:t>The evaluation set contains 29 frozen real postings and six fictional candidate queries with relevance labels written during development. Queries are split into validation and test sets: validation selects the model and test is held back. The labels are not human-validated, a limitation discussed in Section VIII.</w:t>
      </w:r>
    </w:p>
    <w:p>
      <w:pPr>
        <w:keepNext/>
        <w:spacing w:before="80" w:after="40"/>
        <w:jc w:val="left"/>
      </w:pPr>
      <w:r>
        <w:rPr>
          <w:rFonts w:ascii="Times New Roman" w:hAnsi="Times New Roman"/>
          <w:i/>
          <w:sz w:val="20"/>
        </w:rPr>
        <w:t>B. Rankers and scoring</w:t>
      </w:r>
    </w:p>
    <w:p>
      <w:pPr>
        <w:spacing w:after="60" w:before="0" w:line="240" w:lineRule="auto"/>
        <w:ind w:firstLine="245"/>
        <w:jc w:val="both"/>
      </w:pPr>
      <w:r>
        <w:rPr>
          <w:rFonts w:ascii="Times New Roman" w:hAnsi="Times New Roman"/>
          <w:b w:val="0"/>
          <w:i w:val="0"/>
          <w:sz w:val="20"/>
        </w:rPr>
        <w:t>Three rankers are compared: TF-IDF; a sentence-transformer (all-MiniLM-L6-v2, pinned to a fixed revision so that a later upload cannot change results); and a hybrid of the two. The match score combines five component scores with fixed weights read from the pipeline parameters:</w:t>
      </w:r>
    </w:p>
    <w:p>
      <w:pPr>
        <w:tabs>
          <w:tab w:pos="2448" w:val="center"/>
          <w:tab w:pos="4896" w:val="right"/>
        </w:tabs>
        <w:spacing w:after="40"/>
        <w:jc w:val="center"/>
      </w:pPr>
      <w:r>
        <w:rPr>
          <w:rFonts w:ascii="Times New Roman" w:hAnsi="Times New Roman"/>
          <w:sz w:val="20"/>
        </w:rPr>
        <w:tab/>
        <w:t>S = Σ w</w:t>
      </w:r>
      <w:r>
        <w:rPr>
          <w:rFonts w:ascii="Times New Roman" w:hAnsi="Times New Roman"/>
          <w:sz w:val="20"/>
          <w:vertAlign w:val="subscript"/>
        </w:rPr>
        <w:t>k</w:t>
      </w:r>
      <w:r>
        <w:rPr>
          <w:rFonts w:ascii="Times New Roman" w:hAnsi="Times New Roman"/>
          <w:sz w:val="20"/>
        </w:rPr>
        <w:t xml:space="preserve"> s</w:t>
      </w:r>
      <w:r>
        <w:rPr>
          <w:rFonts w:ascii="Times New Roman" w:hAnsi="Times New Roman"/>
          <w:sz w:val="20"/>
          <w:vertAlign w:val="subscript"/>
        </w:rPr>
        <w:t>k</w:t>
      </w:r>
      <w:r>
        <w:rPr>
          <w:rFonts w:ascii="Times New Roman" w:hAnsi="Times New Roman"/>
          <w:sz w:val="20"/>
        </w:rPr>
        <w:tab/>
        <w:t>(1)</w:t>
      </w:r>
    </w:p>
    <w:p>
      <w:pPr>
        <w:spacing w:after="60" w:before="0" w:line="240" w:lineRule="auto"/>
        <w:jc w:val="both"/>
      </w:pPr>
      <w:r>
        <w:rPr>
          <w:rFonts w:ascii="Times New Roman" w:hAnsi="Times New Roman"/>
          <w:b w:val="0"/>
          <w:i w:val="0"/>
          <w:sz w:val="20"/>
        </w:rPr>
        <w:t>where the components k are semantic, skill, eligibility, location and freshness, with weights 0.40, 0.30, 0.15, 0.08 and 0.07. Each result also carries the matched and missing skills, a text explanation, the model version and a fallback reason that is empty in production. The explanation is part of the output contract because a ranking that influences a job search must be inspectable.</w:t>
      </w:r>
    </w:p>
    <w:p>
      <w:pPr>
        <w:keepNext/>
        <w:spacing w:before="80" w:after="40"/>
        <w:jc w:val="left"/>
      </w:pPr>
      <w:r>
        <w:rPr>
          <w:rFonts w:ascii="Times New Roman" w:hAnsi="Times New Roman"/>
          <w:i/>
          <w:sz w:val="20"/>
        </w:rPr>
        <w:t>C. Model selection</w:t>
      </w:r>
    </w:p>
    <w:p>
      <w:pPr>
        <w:spacing w:after="60" w:before="0" w:line="240" w:lineRule="auto"/>
        <w:ind w:firstLine="245"/>
        <w:jc w:val="both"/>
      </w:pPr>
      <w:r>
        <w:rPr>
          <w:rFonts w:ascii="Times New Roman" w:hAnsi="Times New Roman"/>
          <w:b w:val="0"/>
          <w:i w:val="0"/>
          <w:sz w:val="20"/>
        </w:rPr>
        <w:t>The pipeline selects the ranker with the highest validation nDCG@5, breaking ties by Precision@5 and then by algorithm name. The rule is deterministic, which keeps reruns reproducible.</w:t>
      </w:r>
    </w:p>
    <w:p>
      <w:pPr>
        <w:keepNext/>
        <w:spacing w:before="160" w:after="80"/>
        <w:jc w:val="center"/>
      </w:pPr>
      <w:r>
        <w:rPr>
          <w:rFonts w:ascii="Times New Roman" w:hAnsi="Times New Roman"/>
          <w:sz w:val="20"/>
        </w:rPr>
        <w:t>V. MLOPS PIPELINE</w:t>
      </w:r>
    </w:p>
    <w:p>
      <w:pPr>
        <w:keepNext/>
        <w:spacing w:before="80" w:after="40"/>
        <w:jc w:val="left"/>
      </w:pPr>
      <w:r>
        <w:rPr>
          <w:rFonts w:ascii="Times New Roman" w:hAnsi="Times New Roman"/>
          <w:i/>
          <w:sz w:val="20"/>
        </w:rPr>
        <w:t>A. Versioned pipeline</w:t>
      </w:r>
    </w:p>
    <w:p>
      <w:pPr>
        <w:spacing w:after="60" w:before="0" w:line="240" w:lineRule="auto"/>
        <w:ind w:firstLine="245"/>
        <w:jc w:val="both"/>
      </w:pPr>
      <w:r>
        <w:rPr>
          <w:rFonts w:ascii="Times New Roman" w:hAnsi="Times New Roman"/>
          <w:b w:val="0"/>
          <w:i w:val="0"/>
          <w:sz w:val="20"/>
        </w:rPr>
        <w:t xml:space="preserve">The pipeline is defined in </w:t>
      </w:r>
      <w:r>
        <w:rPr>
          <w:rFonts w:ascii="Courier New" w:hAnsi="Courier New" w:eastAsia="Courier New"/>
          <w:sz w:val="17"/>
        </w:rPr>
        <w:t>dvc.yaml</w:t>
      </w:r>
      <w:r>
        <w:rPr>
          <w:rFonts w:ascii="Times New Roman" w:hAnsi="Times New Roman"/>
          <w:b w:val="0"/>
          <w:i w:val="0"/>
          <w:sz w:val="20"/>
        </w:rPr>
        <w:t xml:space="preserve"> as seven stages (Table II). Each stage declares its command, inputs and outputs, so DVC reruns only the stages whose inputs changed. Settings (the seed, the score weights, the embedding model and its revision) live in </w:t>
      </w:r>
      <w:r>
        <w:rPr>
          <w:rFonts w:ascii="Courier New" w:hAnsi="Courier New" w:eastAsia="Courier New"/>
          <w:sz w:val="17"/>
        </w:rPr>
        <w:t>params.yaml</w:t>
      </w:r>
      <w:r>
        <w:rPr>
          <w:rFonts w:ascii="Times New Roman" w:hAnsi="Times New Roman"/>
          <w:b w:val="0"/>
          <w:i w:val="0"/>
          <w:sz w:val="20"/>
        </w:rPr>
        <w:t xml:space="preserve"> and are declared as stage dependencies. After a run, </w:t>
      </w:r>
      <w:r>
        <w:rPr>
          <w:rFonts w:ascii="Courier New" w:hAnsi="Courier New" w:eastAsia="Courier New"/>
          <w:sz w:val="17"/>
        </w:rPr>
        <w:t>dvc.lock</w:t>
      </w:r>
      <w:r>
        <w:rPr>
          <w:rFonts w:ascii="Times New Roman" w:hAnsi="Times New Roman"/>
          <w:b w:val="0"/>
          <w:i w:val="0"/>
          <w:sz w:val="20"/>
        </w:rPr>
        <w:t xml:space="preserve"> records a content hash for every input and output. Git commits this file, so each commit identifies one exact version of data and model. Large outputs are stored in an S3 bucket (21 objects, 92.6 MB) that is versioned and encrypted.</w:t>
      </w:r>
    </w:p>
    <w:p>
      <w:pPr>
        <w:keepNext/>
        <w:spacing w:before="120" w:after="0"/>
        <w:jc w:val="center"/>
      </w:pPr>
      <w:r>
        <w:rPr>
          <w:rFonts w:ascii="Times New Roman" w:hAnsi="Times New Roman"/>
          <w:sz w:val="16"/>
        </w:rPr>
        <w:t>TABLE II</w:t>
      </w:r>
    </w:p>
    <w:p>
      <w:pPr>
        <w:keepNext/>
        <w:spacing w:after="60"/>
        <w:jc w:val="center"/>
      </w:pPr>
      <w:r>
        <w:rPr>
          <w:rFonts w:ascii="Times New Roman" w:hAnsi="Times New Roman"/>
          <w:sz w:val="16"/>
        </w:rPr>
        <w:t>DVC PIPELINE STAGES</w:t>
      </w:r>
    </w:p>
    <w:tbl>
      <w:tblPr>
        <w:tblStyle w:val="TableGrid"/>
        <w:tblW w:type="auto" w:w="0"/>
        <w:jc w:val="center"/>
        <w:tblLayout w:type="fixed"/>
        <w:tblLook w:firstColumn="1" w:firstRow="1" w:lastColumn="0" w:lastRow="0" w:noHBand="0" w:noVBand="1" w:val="04A0"/>
      </w:tblPr>
      <w:tblGrid>
        <w:gridCol w:w="5220"/>
        <w:gridCol w:w="5220"/>
      </w:tblGrid>
      <w:tr>
        <w:tc>
          <w:tcPr>
            <w:tcW w:type="dxa" w:w="2160"/>
            <w:shd w:val="clear" w:color="auto" w:fill="E7E6E6"/>
          </w:tcPr>
          <w:p>
            <w:pPr>
              <w:keepNext/>
              <w:spacing w:after="0" w:line="240" w:lineRule="auto"/>
              <w:jc w:val="left"/>
            </w:pPr>
            <w:r>
              <w:rPr>
                <w:rFonts w:ascii="Times New Roman" w:hAnsi="Times New Roman"/>
                <w:b/>
                <w:i w:val="0"/>
                <w:sz w:val="16"/>
              </w:rPr>
              <w:t>Stage</w:t>
            </w:r>
          </w:p>
        </w:tc>
        <w:tc>
          <w:tcPr>
            <w:tcW w:type="dxa" w:w="2736"/>
            <w:shd w:val="clear" w:color="auto" w:fill="E7E6E6"/>
          </w:tcPr>
          <w:p>
            <w:pPr>
              <w:keepNext/>
              <w:spacing w:after="0" w:line="240" w:lineRule="auto"/>
              <w:jc w:val="left"/>
            </w:pPr>
            <w:r>
              <w:rPr>
                <w:rFonts w:ascii="Times New Roman" w:hAnsi="Times New Roman"/>
                <w:b/>
                <w:i w:val="0"/>
                <w:sz w:val="16"/>
              </w:rPr>
              <w:t>Main output</w:t>
            </w:r>
          </w:p>
        </w:tc>
      </w:tr>
      <w:tr>
        <w:tc>
          <w:tcPr>
            <w:tcW w:type="dxa" w:w="2160"/>
          </w:tcPr>
          <w:p>
            <w:pPr>
              <w:keepNext/>
              <w:spacing w:after="0" w:line="240" w:lineRule="auto"/>
              <w:jc w:val="left"/>
            </w:pPr>
            <w:r>
              <w:rPr>
                <w:rFonts w:ascii="Times New Roman" w:hAnsi="Times New Roman"/>
                <w:b w:val="0"/>
                <w:i w:val="0"/>
                <w:sz w:val="16"/>
              </w:rPr>
              <w:t>ingest</w:t>
            </w:r>
          </w:p>
        </w:tc>
        <w:tc>
          <w:tcPr>
            <w:tcW w:type="dxa" w:w="2736"/>
          </w:tcPr>
          <w:p>
            <w:pPr>
              <w:keepNext/>
              <w:spacing w:after="0" w:line="240" w:lineRule="auto"/>
              <w:jc w:val="left"/>
            </w:pPr>
            <w:r>
              <w:rPr>
                <w:rFonts w:ascii="Times New Roman" w:hAnsi="Times New Roman"/>
                <w:b w:val="0"/>
                <w:i w:val="0"/>
                <w:sz w:val="16"/>
              </w:rPr>
              <w:t>Frozen raw snapshot</w:t>
            </w:r>
          </w:p>
        </w:tc>
      </w:tr>
      <w:tr>
        <w:tc>
          <w:tcPr>
            <w:tcW w:type="dxa" w:w="2160"/>
          </w:tcPr>
          <w:p>
            <w:pPr>
              <w:keepNext/>
              <w:spacing w:after="0" w:line="240" w:lineRule="auto"/>
              <w:jc w:val="left"/>
            </w:pPr>
            <w:r>
              <w:rPr>
                <w:rFonts w:ascii="Times New Roman" w:hAnsi="Times New Roman"/>
                <w:b w:val="0"/>
                <w:i w:val="0"/>
                <w:sz w:val="16"/>
              </w:rPr>
              <w:t>preprocess</w:t>
            </w:r>
          </w:p>
        </w:tc>
        <w:tc>
          <w:tcPr>
            <w:tcW w:type="dxa" w:w="2736"/>
          </w:tcPr>
          <w:p>
            <w:pPr>
              <w:keepNext/>
              <w:spacing w:after="0" w:line="240" w:lineRule="auto"/>
              <w:jc w:val="left"/>
            </w:pPr>
            <w:r>
              <w:rPr>
                <w:rFonts w:ascii="Times New Roman" w:hAnsi="Times New Roman"/>
                <w:b w:val="0"/>
                <w:i w:val="0"/>
                <w:sz w:val="16"/>
              </w:rPr>
              <w:t>Normalized jobs</w:t>
            </w:r>
          </w:p>
        </w:tc>
      </w:tr>
      <w:tr>
        <w:tc>
          <w:tcPr>
            <w:tcW w:type="dxa" w:w="2160"/>
          </w:tcPr>
          <w:p>
            <w:pPr>
              <w:keepNext/>
              <w:spacing w:after="0" w:line="240" w:lineRule="auto"/>
              <w:jc w:val="left"/>
            </w:pPr>
            <w:r>
              <w:rPr>
                <w:rFonts w:ascii="Times New Roman" w:hAnsi="Times New Roman"/>
                <w:b w:val="0"/>
                <w:i w:val="0"/>
                <w:sz w:val="16"/>
              </w:rPr>
              <w:t>build_training_set</w:t>
            </w:r>
          </w:p>
        </w:tc>
        <w:tc>
          <w:tcPr>
            <w:tcW w:type="dxa" w:w="2736"/>
          </w:tcPr>
          <w:p>
            <w:pPr>
              <w:keepNext/>
              <w:spacing w:after="0" w:line="240" w:lineRule="auto"/>
              <w:jc w:val="left"/>
            </w:pPr>
            <w:r>
              <w:rPr>
                <w:rFonts w:ascii="Times New Roman" w:hAnsi="Times New Roman"/>
                <w:b w:val="0"/>
                <w:i w:val="0"/>
                <w:sz w:val="16"/>
              </w:rPr>
              <w:t>Queries, labels, splits</w:t>
            </w:r>
          </w:p>
        </w:tc>
      </w:tr>
      <w:tr>
        <w:tc>
          <w:tcPr>
            <w:tcW w:type="dxa" w:w="2160"/>
          </w:tcPr>
          <w:p>
            <w:pPr>
              <w:keepNext/>
              <w:spacing w:after="0" w:line="240" w:lineRule="auto"/>
              <w:jc w:val="left"/>
            </w:pPr>
            <w:r>
              <w:rPr>
                <w:rFonts w:ascii="Times New Roman" w:hAnsi="Times New Roman"/>
                <w:b w:val="0"/>
                <w:i w:val="0"/>
                <w:sz w:val="16"/>
              </w:rPr>
              <w:t>train</w:t>
            </w:r>
          </w:p>
        </w:tc>
        <w:tc>
          <w:tcPr>
            <w:tcW w:type="dxa" w:w="2736"/>
          </w:tcPr>
          <w:p>
            <w:pPr>
              <w:keepNext/>
              <w:spacing w:after="0" w:line="240" w:lineRule="auto"/>
              <w:jc w:val="left"/>
            </w:pPr>
            <w:r>
              <w:rPr>
                <w:rFonts w:ascii="Times New Roman" w:hAnsi="Times New Roman"/>
                <w:b w:val="0"/>
                <w:i w:val="0"/>
                <w:sz w:val="16"/>
              </w:rPr>
              <w:t>TF-IDF index, embeddings</w:t>
            </w:r>
          </w:p>
        </w:tc>
      </w:tr>
      <w:tr>
        <w:tc>
          <w:tcPr>
            <w:tcW w:type="dxa" w:w="2160"/>
          </w:tcPr>
          <w:p>
            <w:pPr>
              <w:keepNext/>
              <w:spacing w:after="0" w:line="240" w:lineRule="auto"/>
              <w:jc w:val="left"/>
            </w:pPr>
            <w:r>
              <w:rPr>
                <w:rFonts w:ascii="Times New Roman" w:hAnsi="Times New Roman"/>
                <w:b w:val="0"/>
                <w:i w:val="0"/>
                <w:sz w:val="16"/>
              </w:rPr>
              <w:t>evaluate</w:t>
            </w:r>
          </w:p>
        </w:tc>
        <w:tc>
          <w:tcPr>
            <w:tcW w:type="dxa" w:w="2736"/>
          </w:tcPr>
          <w:p>
            <w:pPr>
              <w:keepNext/>
              <w:spacing w:after="0" w:line="240" w:lineRule="auto"/>
              <w:jc w:val="left"/>
            </w:pPr>
            <w:r>
              <w:rPr>
                <w:rFonts w:ascii="Times New Roman" w:hAnsi="Times New Roman"/>
                <w:b w:val="0"/>
                <w:i w:val="0"/>
                <w:sz w:val="16"/>
              </w:rPr>
              <w:t>Metrics file</w:t>
            </w:r>
          </w:p>
        </w:tc>
      </w:tr>
      <w:tr>
        <w:tc>
          <w:tcPr>
            <w:tcW w:type="dxa" w:w="2160"/>
          </w:tcPr>
          <w:p>
            <w:pPr>
              <w:keepNext/>
              <w:spacing w:after="0" w:line="240" w:lineRule="auto"/>
              <w:jc w:val="left"/>
            </w:pPr>
            <w:r>
              <w:rPr>
                <w:rFonts w:ascii="Times New Roman" w:hAnsi="Times New Roman"/>
                <w:b w:val="0"/>
                <w:i w:val="0"/>
                <w:sz w:val="16"/>
              </w:rPr>
              <w:t>register</w:t>
            </w:r>
          </w:p>
        </w:tc>
        <w:tc>
          <w:tcPr>
            <w:tcW w:type="dxa" w:w="2736"/>
          </w:tcPr>
          <w:p>
            <w:pPr>
              <w:keepNext/>
              <w:spacing w:after="0" w:line="240" w:lineRule="auto"/>
              <w:jc w:val="left"/>
            </w:pPr>
            <w:r>
              <w:rPr>
                <w:rFonts w:ascii="Times New Roman" w:hAnsi="Times New Roman"/>
                <w:b w:val="0"/>
                <w:i w:val="0"/>
                <w:sz w:val="16"/>
              </w:rPr>
              <w:t>MLflow model version</w:t>
            </w:r>
          </w:p>
        </w:tc>
      </w:tr>
      <w:tr>
        <w:tc>
          <w:tcPr>
            <w:tcW w:type="dxa" w:w="2160"/>
          </w:tcPr>
          <w:p>
            <w:pPr>
              <w:spacing w:after="0" w:line="240" w:lineRule="auto"/>
              <w:jc w:val="left"/>
            </w:pPr>
            <w:r>
              <w:rPr>
                <w:rFonts w:ascii="Times New Roman" w:hAnsi="Times New Roman"/>
                <w:b w:val="0"/>
                <w:i w:val="0"/>
                <w:sz w:val="16"/>
              </w:rPr>
              <w:t>export_model</w:t>
            </w:r>
          </w:p>
        </w:tc>
        <w:tc>
          <w:tcPr>
            <w:tcW w:type="dxa" w:w="2736"/>
          </w:tcPr>
          <w:p>
            <w:pPr>
              <w:spacing w:after="0" w:line="240" w:lineRule="auto"/>
              <w:jc w:val="left"/>
            </w:pPr>
            <w:r>
              <w:rPr>
                <w:rFonts w:ascii="Times New Roman" w:hAnsi="Times New Roman"/>
                <w:b w:val="0"/>
                <w:i w:val="0"/>
                <w:sz w:val="16"/>
              </w:rPr>
              <w:t>Verified model bundle</w:t>
            </w:r>
          </w:p>
        </w:tc>
      </w:tr>
    </w:tbl>
    <w:p>
      <w:pPr>
        <w:spacing w:after="40"/>
      </w:pPr>
    </w:p>
    <w:p>
      <w:pPr>
        <w:keepNext/>
        <w:spacing w:before="80" w:after="40"/>
        <w:jc w:val="left"/>
      </w:pPr>
      <w:r>
        <w:rPr>
          <w:rFonts w:ascii="Times New Roman" w:hAnsi="Times New Roman"/>
          <w:i/>
          <w:sz w:val="20"/>
        </w:rPr>
        <w:t>B. Experiment tracking and registry</w:t>
      </w:r>
    </w:p>
    <w:p>
      <w:pPr>
        <w:spacing w:after="60" w:before="0" w:line="240" w:lineRule="auto"/>
        <w:ind w:firstLine="245"/>
        <w:jc w:val="both"/>
      </w:pPr>
      <w:r>
        <w:rPr>
          <w:rFonts w:ascii="Times New Roman" w:hAnsi="Times New Roman"/>
          <w:b w:val="0"/>
          <w:i w:val="0"/>
          <w:sz w:val="20"/>
        </w:rPr>
        <w:t xml:space="preserve">Each training and evaluation run is logged to an MLflow server: parameters, validation and test metrics, tags for the split policy and the Git commit, and artifacts. The store holds 12 finished runs in the experiment </w:t>
      </w:r>
      <w:r>
        <w:rPr>
          <w:rFonts w:ascii="Courier New" w:hAnsi="Courier New" w:eastAsia="Courier New"/>
          <w:sz w:val="17"/>
        </w:rPr>
        <w:t>careerflowops-ranking</w:t>
      </w:r>
      <w:r>
        <w:rPr>
          <w:rFonts w:ascii="Times New Roman" w:hAnsi="Times New Roman"/>
          <w:b w:val="0"/>
          <w:i w:val="0"/>
          <w:sz w:val="20"/>
        </w:rPr>
        <w:t xml:space="preserve">. The registered model </w:t>
      </w:r>
      <w:r>
        <w:rPr>
          <w:rFonts w:ascii="Courier New" w:hAnsi="Courier New" w:eastAsia="Courier New"/>
          <w:sz w:val="17"/>
        </w:rPr>
        <w:t>careerflowops-ranker</w:t>
      </w:r>
      <w:r>
        <w:rPr>
          <w:rFonts w:ascii="Times New Roman" w:hAnsi="Times New Roman"/>
          <w:b w:val="0"/>
          <w:i w:val="0"/>
          <w:sz w:val="20"/>
        </w:rPr>
        <w:t xml:space="preserve"> has four versions, and the alias </w:t>
      </w:r>
      <w:r>
        <w:rPr>
          <w:rFonts w:ascii="Courier New" w:hAnsi="Courier New" w:eastAsia="Courier New"/>
          <w:sz w:val="17"/>
        </w:rPr>
        <w:t>production</w:t>
      </w:r>
      <w:r>
        <w:rPr>
          <w:rFonts w:ascii="Times New Roman" w:hAnsi="Times New Roman"/>
          <w:b w:val="0"/>
          <w:i w:val="0"/>
          <w:sz w:val="20"/>
        </w:rPr>
        <w:t xml:space="preserve"> points to version 4. Moving an alias promotes a model without renaming it. The tracking store was created during training and copied once to the server, so the history shown there is the original.</w:t>
      </w:r>
    </w:p>
    <w:p>
      <w:pPr>
        <w:keepNext/>
        <w:spacing w:before="80" w:after="40"/>
        <w:jc w:val="left"/>
      </w:pPr>
      <w:r>
        <w:rPr>
          <w:rFonts w:ascii="Times New Roman" w:hAnsi="Times New Roman"/>
          <w:i/>
          <w:sz w:val="20"/>
        </w:rPr>
        <w:t>C. Model bundle and fail-closed serving</w:t>
      </w:r>
    </w:p>
    <w:p>
      <w:pPr>
        <w:spacing w:after="60" w:before="0" w:line="240" w:lineRule="auto"/>
        <w:ind w:firstLine="245"/>
        <w:jc w:val="both"/>
      </w:pPr>
      <w:r>
        <w:rPr>
          <w:rFonts w:ascii="Times New Roman" w:hAnsi="Times New Roman"/>
          <w:b w:val="0"/>
          <w:i w:val="0"/>
          <w:sz w:val="20"/>
        </w:rPr>
        <w:t>The last stage exports a self-contained bundle: the model files and a manifest listing the checksum of every file. The bundle ID is the SHA-256 hash of the manifest, so a change to any file produces a new ID. In production the API loads only a verified bundle. If it is missing, corrupt or incompatible, the API returns HTTP 503 instead of answering from another model. The readiness endpoint reports the model version, the algorithm and the bundle ID, so the identity of the live model can be checked from outside.</w:t>
      </w:r>
    </w:p>
    <w:p>
      <w:pPr>
        <w:keepNext/>
        <w:spacing w:before="80" w:after="40"/>
        <w:jc w:val="left"/>
      </w:pPr>
      <w:r>
        <w:rPr>
          <w:rFonts w:ascii="Times New Roman" w:hAnsi="Times New Roman"/>
          <w:i/>
          <w:sz w:val="20"/>
        </w:rPr>
        <w:t>D. Traceability</w:t>
      </w:r>
    </w:p>
    <w:p>
      <w:pPr>
        <w:spacing w:after="60" w:before="0" w:line="240" w:lineRule="auto"/>
        <w:ind w:firstLine="245"/>
        <w:jc w:val="both"/>
      </w:pPr>
      <w:r>
        <w:rPr>
          <w:rFonts w:ascii="Times New Roman" w:hAnsi="Times New Roman"/>
          <w:b w:val="0"/>
          <w:i w:val="0"/>
          <w:sz w:val="20"/>
        </w:rPr>
        <w:t xml:space="preserve">A deployed prediction can be traced through five identifiers: the Git commit (code), the dataset hash (data), the MLflow run ID (experiment), the bundle ID (model files) and the image digest (container). The model version string, for example </w:t>
      </w:r>
      <w:r>
        <w:rPr>
          <w:rFonts w:ascii="Courier New" w:hAnsi="Courier New" w:eastAsia="Courier New"/>
          <w:sz w:val="17"/>
        </w:rPr>
        <w:t>b3e854956e87-574536b6</w:t>
      </w:r>
      <w:r>
        <w:rPr>
          <w:rFonts w:ascii="Times New Roman" w:hAnsi="Times New Roman"/>
          <w:b w:val="0"/>
          <w:i w:val="0"/>
          <w:sz w:val="20"/>
        </w:rPr>
        <w:t>, joins the dataset hash prefix and the training commit prefix.</w:t>
      </w:r>
    </w:p>
    <w:p>
      <w:pPr>
        <w:keepNext/>
        <w:spacing w:before="160" w:after="80"/>
        <w:jc w:val="center"/>
      </w:pPr>
      <w:r>
        <w:rPr>
          <w:rFonts w:ascii="Times New Roman" w:hAnsi="Times New Roman"/>
          <w:sz w:val="20"/>
        </w:rPr>
        <w:t>VI. CI/CD AND CLOUD DEPLOYMENT</w:t>
      </w:r>
    </w:p>
    <w:p>
      <w:pPr>
        <w:keepNext/>
        <w:spacing w:before="80" w:after="40"/>
        <w:jc w:val="left"/>
      </w:pPr>
      <w:r>
        <w:rPr>
          <w:rFonts w:ascii="Times New Roman" w:hAnsi="Times New Roman"/>
          <w:i/>
          <w:sz w:val="20"/>
        </w:rPr>
        <w:t>A. Workflow</w:t>
      </w:r>
    </w:p>
    <w:p>
      <w:pPr>
        <w:spacing w:after="60" w:before="0" w:line="240" w:lineRule="auto"/>
        <w:ind w:firstLine="245"/>
        <w:jc w:val="both"/>
      </w:pPr>
      <w:r>
        <w:rPr>
          <w:rFonts w:ascii="Times New Roman" w:hAnsi="Times New Roman"/>
          <w:b w:val="0"/>
          <w:i w:val="0"/>
          <w:sz w:val="20"/>
        </w:rPr>
        <w:t>A push to the main branch starts a GitHub Actions workflow with three groups of jobs. The checks run Ruff, pytest and a database migration check for the backend; type checking, ESLint, Prettier, unit tests, a production build and a dependency audit for the frontend; and configuration and alert-rule tests for the monitoring stack. If they pass, the build job creates the API and web images and tags both with the full Git commit SHA. The registry repositories use immutable tags, so a published tag cannot be overwritten and a rollback means deploying an earlier SHA. The final job updates the server.</w:t>
      </w:r>
    </w:p>
    <w:p>
      <w:pPr>
        <w:keepNext/>
        <w:spacing w:before="80" w:after="40"/>
        <w:jc w:val="left"/>
      </w:pPr>
      <w:r>
        <w:rPr>
          <w:rFonts w:ascii="Times New Roman" w:hAnsi="Times New Roman"/>
          <w:i/>
          <w:sz w:val="20"/>
        </w:rPr>
        <w:t>B. Keyless authentication</w:t>
      </w:r>
    </w:p>
    <w:p>
      <w:pPr>
        <w:spacing w:after="60" w:before="0" w:line="240" w:lineRule="auto"/>
        <w:ind w:firstLine="245"/>
        <w:jc w:val="both"/>
      </w:pPr>
      <w:r>
        <w:rPr>
          <w:rFonts w:ascii="Times New Roman" w:hAnsi="Times New Roman"/>
          <w:b w:val="0"/>
          <w:i w:val="0"/>
          <w:sz w:val="20"/>
        </w:rPr>
        <w:t>The workflow holds no AWS keys. It requests a short-lived OpenID Connect token from GitHub and exchanges it for temporary credentials by assuming an IAM role [10]. Two roles exist, each trusted only for the main branch of this repository: one may push to the two ECR repositories, and the other may only send one shell command to instances tagged for the project through AWS Systems Manager [11]. The EC2 instance has its own role, which can pull the two images and read the model prefix of the bucket and nothing else.</w:t>
      </w:r>
    </w:p>
    <w:p>
      <w:pPr>
        <w:keepNext/>
        <w:spacing w:before="80" w:after="40"/>
        <w:jc w:val="left"/>
      </w:pPr>
      <w:r>
        <w:rPr>
          <w:rFonts w:ascii="Times New Roman" w:hAnsi="Times New Roman"/>
          <w:i/>
          <w:sz w:val="20"/>
        </w:rPr>
        <w:t>C. Infrastructure</w:t>
      </w:r>
    </w:p>
    <w:p>
      <w:pPr>
        <w:keepNext/>
        <w:spacing w:before="120" w:after="0"/>
        <w:jc w:val="center"/>
      </w:pPr>
      <w:r>
        <w:rPr>
          <w:rFonts w:ascii="Times New Roman" w:hAnsi="Times New Roman"/>
          <w:sz w:val="16"/>
        </w:rPr>
        <w:t>TABLE III</w:t>
      </w:r>
    </w:p>
    <w:p>
      <w:pPr>
        <w:keepNext/>
        <w:spacing w:after="60"/>
        <w:jc w:val="center"/>
      </w:pPr>
      <w:r>
        <w:rPr>
          <w:rFonts w:ascii="Times New Roman" w:hAnsi="Times New Roman"/>
          <w:sz w:val="16"/>
        </w:rPr>
        <w:t>AWS RESOURCES (REGION AP-SOUTH-1)</w:t>
      </w:r>
    </w:p>
    <w:tbl>
      <w:tblPr>
        <w:tblStyle w:val="TableGrid"/>
        <w:tblW w:type="auto" w:w="0"/>
        <w:jc w:val="center"/>
        <w:tblLayout w:type="fixed"/>
        <w:tblLook w:firstColumn="1" w:firstRow="1" w:lastColumn="0" w:lastRow="0" w:noHBand="0" w:noVBand="1" w:val="04A0"/>
      </w:tblPr>
      <w:tblGrid>
        <w:gridCol w:w="5220"/>
        <w:gridCol w:w="5220"/>
      </w:tblGrid>
      <w:tr>
        <w:tc>
          <w:tcPr>
            <w:tcW w:type="dxa" w:w="1152"/>
            <w:shd w:val="clear" w:color="auto" w:fill="E7E6E6"/>
          </w:tcPr>
          <w:p>
            <w:pPr>
              <w:keepNext/>
              <w:spacing w:after="0" w:line="240" w:lineRule="auto"/>
              <w:jc w:val="left"/>
            </w:pPr>
            <w:r>
              <w:rPr>
                <w:rFonts w:ascii="Times New Roman" w:hAnsi="Times New Roman"/>
                <w:b/>
                <w:i w:val="0"/>
                <w:sz w:val="16"/>
              </w:rPr>
              <w:t>Resource</w:t>
            </w:r>
          </w:p>
        </w:tc>
        <w:tc>
          <w:tcPr>
            <w:tcW w:type="dxa" w:w="3744"/>
            <w:shd w:val="clear" w:color="auto" w:fill="E7E6E6"/>
          </w:tcPr>
          <w:p>
            <w:pPr>
              <w:keepNext/>
              <w:spacing w:after="0" w:line="240" w:lineRule="auto"/>
              <w:jc w:val="left"/>
            </w:pPr>
            <w:r>
              <w:rPr>
                <w:rFonts w:ascii="Times New Roman" w:hAnsi="Times New Roman"/>
                <w:b/>
                <w:i w:val="0"/>
                <w:sz w:val="16"/>
              </w:rPr>
              <w:t>Configuration</w:t>
            </w:r>
          </w:p>
        </w:tc>
      </w:tr>
      <w:tr>
        <w:tc>
          <w:tcPr>
            <w:tcW w:type="dxa" w:w="1152"/>
          </w:tcPr>
          <w:p>
            <w:pPr>
              <w:keepNext/>
              <w:spacing w:after="0" w:line="240" w:lineRule="auto"/>
              <w:jc w:val="left"/>
            </w:pPr>
            <w:r>
              <w:rPr>
                <w:rFonts w:ascii="Times New Roman" w:hAnsi="Times New Roman"/>
                <w:b w:val="0"/>
                <w:i w:val="0"/>
                <w:sz w:val="16"/>
              </w:rPr>
              <w:t>S3</w:t>
            </w:r>
          </w:p>
        </w:tc>
        <w:tc>
          <w:tcPr>
            <w:tcW w:type="dxa" w:w="3744"/>
          </w:tcPr>
          <w:p>
            <w:pPr>
              <w:keepNext/>
              <w:spacing w:after="0" w:line="240" w:lineRule="auto"/>
              <w:jc w:val="left"/>
            </w:pPr>
            <w:r>
              <w:rPr>
                <w:rFonts w:ascii="Times New Roman" w:hAnsi="Times New Roman"/>
                <w:b w:val="0"/>
                <w:i w:val="0"/>
                <w:sz w:val="16"/>
              </w:rPr>
              <w:t>Versioned, encrypted, public access blocked</w:t>
            </w:r>
          </w:p>
        </w:tc>
      </w:tr>
      <w:tr>
        <w:tc>
          <w:tcPr>
            <w:tcW w:type="dxa" w:w="1152"/>
          </w:tcPr>
          <w:p>
            <w:pPr>
              <w:keepNext/>
              <w:spacing w:after="0" w:line="240" w:lineRule="auto"/>
              <w:jc w:val="left"/>
            </w:pPr>
            <w:r>
              <w:rPr>
                <w:rFonts w:ascii="Times New Roman" w:hAnsi="Times New Roman"/>
                <w:b w:val="0"/>
                <w:i w:val="0"/>
                <w:sz w:val="16"/>
              </w:rPr>
              <w:t>ECR</w:t>
            </w:r>
          </w:p>
        </w:tc>
        <w:tc>
          <w:tcPr>
            <w:tcW w:type="dxa" w:w="3744"/>
          </w:tcPr>
          <w:p>
            <w:pPr>
              <w:keepNext/>
              <w:spacing w:after="0" w:line="240" w:lineRule="auto"/>
              <w:jc w:val="left"/>
            </w:pPr>
            <w:r>
              <w:rPr>
                <w:rFonts w:ascii="Times New Roman" w:hAnsi="Times New Roman"/>
                <w:b w:val="0"/>
                <w:i w:val="0"/>
                <w:sz w:val="16"/>
              </w:rPr>
              <w:t>Two repositories, immutable tags, scan on push</w:t>
            </w:r>
          </w:p>
        </w:tc>
      </w:tr>
      <w:tr>
        <w:tc>
          <w:tcPr>
            <w:tcW w:type="dxa" w:w="1152"/>
          </w:tcPr>
          <w:p>
            <w:pPr>
              <w:keepNext/>
              <w:spacing w:after="0" w:line="240" w:lineRule="auto"/>
              <w:jc w:val="left"/>
            </w:pPr>
            <w:r>
              <w:rPr>
                <w:rFonts w:ascii="Times New Roman" w:hAnsi="Times New Roman"/>
                <w:b w:val="0"/>
                <w:i w:val="0"/>
                <w:sz w:val="16"/>
              </w:rPr>
              <w:t>EC2</w:t>
            </w:r>
          </w:p>
        </w:tc>
        <w:tc>
          <w:tcPr>
            <w:tcW w:type="dxa" w:w="3744"/>
          </w:tcPr>
          <w:p>
            <w:pPr>
              <w:keepNext/>
              <w:spacing w:after="0" w:line="240" w:lineRule="auto"/>
              <w:jc w:val="left"/>
            </w:pPr>
            <w:r>
              <w:rPr>
                <w:rFonts w:ascii="Times New Roman" w:hAnsi="Times New Roman"/>
                <w:b w:val="0"/>
                <w:i w:val="0"/>
                <w:sz w:val="16"/>
              </w:rPr>
              <w:t>m7i-flex.large (8 GiB), Ubuntu 24.04, 40 GiB encrypted disk, IMDSv2 required</w:t>
            </w:r>
          </w:p>
        </w:tc>
      </w:tr>
      <w:tr>
        <w:tc>
          <w:tcPr>
            <w:tcW w:type="dxa" w:w="1152"/>
          </w:tcPr>
          <w:p>
            <w:pPr>
              <w:keepNext/>
              <w:spacing w:after="0" w:line="240" w:lineRule="auto"/>
              <w:jc w:val="left"/>
            </w:pPr>
            <w:r>
              <w:rPr>
                <w:rFonts w:ascii="Times New Roman" w:hAnsi="Times New Roman"/>
                <w:b w:val="0"/>
                <w:i w:val="0"/>
                <w:sz w:val="16"/>
              </w:rPr>
              <w:t>Network</w:t>
            </w:r>
          </w:p>
        </w:tc>
        <w:tc>
          <w:tcPr>
            <w:tcW w:type="dxa" w:w="3744"/>
          </w:tcPr>
          <w:p>
            <w:pPr>
              <w:keepNext/>
              <w:spacing w:after="0" w:line="240" w:lineRule="auto"/>
              <w:jc w:val="left"/>
            </w:pPr>
            <w:r>
              <w:rPr>
                <w:rFonts w:ascii="Times New Roman" w:hAnsi="Times New Roman"/>
                <w:b w:val="0"/>
                <w:i w:val="0"/>
                <w:sz w:val="16"/>
              </w:rPr>
              <w:t>Elastic IP; security group opens ports 80 and 443 only</w:t>
            </w:r>
          </w:p>
        </w:tc>
      </w:tr>
      <w:tr>
        <w:tc>
          <w:tcPr>
            <w:tcW w:type="dxa" w:w="1152"/>
          </w:tcPr>
          <w:p>
            <w:pPr>
              <w:keepNext/>
              <w:spacing w:after="0" w:line="240" w:lineRule="auto"/>
              <w:jc w:val="left"/>
            </w:pPr>
            <w:r>
              <w:rPr>
                <w:rFonts w:ascii="Times New Roman" w:hAnsi="Times New Roman"/>
                <w:b w:val="0"/>
                <w:i w:val="0"/>
                <w:sz w:val="16"/>
              </w:rPr>
              <w:t>Access</w:t>
            </w:r>
          </w:p>
        </w:tc>
        <w:tc>
          <w:tcPr>
            <w:tcW w:type="dxa" w:w="3744"/>
          </w:tcPr>
          <w:p>
            <w:pPr>
              <w:keepNext/>
              <w:spacing w:after="0" w:line="240" w:lineRule="auto"/>
              <w:jc w:val="left"/>
            </w:pPr>
            <w:r>
              <w:rPr>
                <w:rFonts w:ascii="Times New Roman" w:hAnsi="Times New Roman"/>
                <w:b w:val="0"/>
                <w:i w:val="0"/>
                <w:sz w:val="16"/>
              </w:rPr>
              <w:t>Systems Manager; no SSH key, port 22 closed</w:t>
            </w:r>
          </w:p>
        </w:tc>
      </w:tr>
      <w:tr>
        <w:tc>
          <w:tcPr>
            <w:tcW w:type="dxa" w:w="1152"/>
          </w:tcPr>
          <w:p>
            <w:pPr>
              <w:spacing w:after="0" w:line="240" w:lineRule="auto"/>
              <w:jc w:val="left"/>
            </w:pPr>
            <w:r>
              <w:rPr>
                <w:rFonts w:ascii="Times New Roman" w:hAnsi="Times New Roman"/>
                <w:b w:val="0"/>
                <w:i w:val="0"/>
                <w:sz w:val="16"/>
              </w:rPr>
              <w:t>IAM</w:t>
            </w:r>
          </w:p>
        </w:tc>
        <w:tc>
          <w:tcPr>
            <w:tcW w:type="dxa" w:w="3744"/>
          </w:tcPr>
          <w:p>
            <w:pPr>
              <w:spacing w:after="0" w:line="240" w:lineRule="auto"/>
              <w:jc w:val="left"/>
            </w:pPr>
            <w:r>
              <w:rPr>
                <w:rFonts w:ascii="Times New Roman" w:hAnsi="Times New Roman"/>
                <w:b w:val="0"/>
                <w:i w:val="0"/>
                <w:sz w:val="16"/>
              </w:rPr>
              <w:t>OIDC provider and three least-privilege roles</w:t>
            </w:r>
          </w:p>
        </w:tc>
      </w:tr>
    </w:tbl>
    <w:p>
      <w:pPr>
        <w:spacing w:after="40"/>
      </w:pPr>
    </w:p>
    <w:p>
      <w:pPr>
        <w:keepNext/>
        <w:spacing w:before="80" w:after="40"/>
        <w:jc w:val="left"/>
      </w:pPr>
      <w:r>
        <w:rPr>
          <w:rFonts w:ascii="Times New Roman" w:hAnsi="Times New Roman"/>
          <w:i/>
          <w:sz w:val="20"/>
        </w:rPr>
        <w:t>D. Deployment procedure</w:t>
      </w:r>
    </w:p>
    <w:p>
      <w:pPr>
        <w:spacing w:after="60" w:before="0" w:line="240" w:lineRule="auto"/>
        <w:ind w:firstLine="245"/>
        <w:jc w:val="both"/>
      </w:pPr>
      <w:r>
        <w:rPr>
          <w:rFonts w:ascii="Times New Roman" w:hAnsi="Times New Roman"/>
          <w:b w:val="0"/>
          <w:i w:val="0"/>
          <w:sz w:val="20"/>
        </w:rPr>
        <w:t>On the host the deploy script runs in order and stops at the first failure. It stops the API and web containers, pulls both images, pulls the model bundle from S3 with DVC, validates inference inside the published API image, starts PostgreSQL and MLflow, then the API (which applies migrations first) and the web container. Finally it compares the bundle ID reported by the running API with the SHA-256 of the downloaded manifest. A deploy request is also rejected unless its commit is still the tip of the main branch, so an older run cannot replace a newer release. Fig. 2 summarizes the flow.</w:t>
      </w:r>
    </w:p>
    <w:p>
      <w:pPr>
        <w:keepNext/>
        <w:spacing w:before="80" w:after="40"/>
        <w:jc w:val="center"/>
      </w:pPr>
      <w:r>
        <w:drawing>
          <wp:inline xmlns:a="http://schemas.openxmlformats.org/drawingml/2006/main" xmlns:pic="http://schemas.openxmlformats.org/drawingml/2006/picture">
            <wp:extent cx="3017520" cy="2381098"/>
            <wp:docPr id="2" name="Picture 2"/>
            <wp:cNvGraphicFramePr>
              <a:graphicFrameLocks noChangeAspect="1"/>
            </wp:cNvGraphicFramePr>
            <a:graphic>
              <a:graphicData uri="http://schemas.openxmlformats.org/drawingml/2006/picture">
                <pic:pic>
                  <pic:nvPicPr>
                    <pic:cNvPr id="0" name="fig_deploy_small.png"/>
                    <pic:cNvPicPr/>
                  </pic:nvPicPr>
                  <pic:blipFill>
                    <a:blip r:embed="rId10"/>
                    <a:stretch>
                      <a:fillRect/>
                    </a:stretch>
                  </pic:blipFill>
                  <pic:spPr>
                    <a:xfrm>
                      <a:off x="0" y="0"/>
                      <a:ext cx="3017520" cy="2381098"/>
                    </a:xfrm>
                    <a:prstGeom prst="rect"/>
                  </pic:spPr>
                </pic:pic>
              </a:graphicData>
            </a:graphic>
          </wp:inline>
        </w:drawing>
      </w:r>
    </w:p>
    <w:p>
      <w:pPr>
        <w:spacing w:after="120"/>
        <w:jc w:val="both"/>
      </w:pPr>
      <w:r>
        <w:rPr>
          <w:rFonts w:ascii="Times New Roman" w:hAnsi="Times New Roman"/>
          <w:b w:val="0"/>
          <w:i w:val="0"/>
          <w:sz w:val="16"/>
        </w:rPr>
        <w:t>Fig. 2. Image and model delivery to the EC2 host.</w:t>
      </w:r>
    </w:p>
    <w:p>
      <w:pPr>
        <w:keepNext/>
        <w:spacing w:before="80" w:after="40"/>
        <w:jc w:val="left"/>
      </w:pPr>
      <w:r>
        <w:rPr>
          <w:rFonts w:ascii="Times New Roman" w:hAnsi="Times New Roman"/>
          <w:i/>
          <w:sz w:val="20"/>
        </w:rPr>
        <w:t>E. Security controls</w:t>
      </w:r>
    </w:p>
    <w:p>
      <w:pPr>
        <w:spacing w:after="60" w:before="0" w:line="240" w:lineRule="auto"/>
        <w:ind w:firstLine="245"/>
        <w:jc w:val="both"/>
      </w:pPr>
      <w:r>
        <w:rPr>
          <w:rFonts w:ascii="Times New Roman" w:hAnsi="Times New Roman"/>
          <w:b w:val="0"/>
          <w:i w:val="0"/>
          <w:sz w:val="20"/>
        </w:rPr>
        <w:t>Every service except the HTTPS edge listens on the loopback interface. Administration uses Systems Manager. Production configuration refuses weak or shared tokens, SQLite, a missing model and any cross-origin setting that is not HTTPS or loopback. The instance requires IMDSv2.</w:t>
      </w:r>
    </w:p>
    <w:p>
      <w:pPr>
        <w:keepNext/>
        <w:spacing w:before="160" w:after="80"/>
        <w:jc w:val="center"/>
      </w:pPr>
      <w:r>
        <w:rPr>
          <w:rFonts w:ascii="Times New Roman" w:hAnsi="Times New Roman"/>
          <w:sz w:val="20"/>
        </w:rPr>
        <w:t>VII. MONITORING AND RELIABILITY</w:t>
      </w:r>
    </w:p>
    <w:p>
      <w:pPr>
        <w:spacing w:after="60" w:before="0" w:line="240" w:lineRule="auto"/>
        <w:ind w:firstLine="245"/>
        <w:jc w:val="both"/>
      </w:pPr>
      <w:r>
        <w:rPr>
          <w:rFonts w:ascii="Times New Roman" w:hAnsi="Times New Roman"/>
          <w:b w:val="0"/>
          <w:i w:val="0"/>
          <w:sz w:val="20"/>
        </w:rPr>
        <w:t xml:space="preserve">The API exports Prometheus metrics for request counts and durations, inference time, ingestion runs and detected duplicates [12]. Prometheus scrapes them and Grafana shows a provisioned dashboard. Four alert rules cover an unreachable API, repeated readiness failures, sustained server errors and failed or partial ingestion; their firing and non-firing behavior is tested in CI. Containers use the restart policy </w:t>
      </w:r>
      <w:r>
        <w:rPr>
          <w:rFonts w:ascii="Courier New" w:hAnsi="Courier New" w:eastAsia="Courier New"/>
          <w:sz w:val="17"/>
        </w:rPr>
        <w:t>unless-stopped</w:t>
      </w:r>
      <w:r>
        <w:rPr>
          <w:rFonts w:ascii="Times New Roman" w:hAnsi="Times New Roman"/>
          <w:b w:val="0"/>
          <w:i w:val="0"/>
          <w:sz w:val="20"/>
        </w:rPr>
        <w:t>, and Docker starts at boot. Compose health checks call the readiness endpoint, so dependent containers wait for a healthy database and API. Alert delivery, drift detection and host-level metrics are not implemented.</w:t>
      </w:r>
    </w:p>
    <w:p>
      <w:pPr>
        <w:keepNext/>
        <w:spacing w:before="160" w:after="80"/>
        <w:jc w:val="center"/>
      </w:pPr>
      <w:r>
        <w:rPr>
          <w:rFonts w:ascii="Times New Roman" w:hAnsi="Times New Roman"/>
          <w:sz w:val="20"/>
        </w:rPr>
        <w:t>VIII. EVALUATION</w:t>
      </w:r>
    </w:p>
    <w:p>
      <w:pPr>
        <w:keepNext/>
        <w:spacing w:before="80" w:after="40"/>
        <w:jc w:val="left"/>
      </w:pPr>
      <w:r>
        <w:rPr>
          <w:rFonts w:ascii="Times New Roman" w:hAnsi="Times New Roman"/>
          <w:i/>
          <w:sz w:val="20"/>
        </w:rPr>
        <w:t>A. Ranking metrics</w:t>
      </w:r>
    </w:p>
    <w:p>
      <w:pPr>
        <w:spacing w:after="60" w:before="0" w:line="240" w:lineRule="auto"/>
        <w:ind w:firstLine="245"/>
        <w:jc w:val="both"/>
      </w:pPr>
      <w:r>
        <w:rPr>
          <w:rFonts w:ascii="Times New Roman" w:hAnsi="Times New Roman"/>
          <w:b w:val="0"/>
          <w:i w:val="0"/>
          <w:sz w:val="20"/>
        </w:rPr>
        <w:t>Table IV lists the saved metrics of the three rankers (S-BERT is the sentence-transformer ranker). All three have identical validation scores (nDCG@5 of 1.0 and Precision@5 of 0.6), so the selection rule falls through to the algorithm name and chooses TF-IDF. Test MRR is 1.0 for all three. The hybrid ranker scores lower on the test queries (nDCG@5 0.7426), which shows that the held-out queries can separate rankers even though validation cannot. With six queries these numbers show that the pipeline measures, selects and registers a model. They do not show ranking quality for real users.</w:t>
      </w:r>
    </w:p>
    <w:p>
      <w:pPr>
        <w:keepNext/>
        <w:spacing w:before="120" w:after="0"/>
        <w:jc w:val="center"/>
      </w:pPr>
      <w:r>
        <w:rPr>
          <w:rFonts w:ascii="Times New Roman" w:hAnsi="Times New Roman"/>
          <w:sz w:val="16"/>
        </w:rPr>
        <w:t>TABLE IV</w:t>
      </w:r>
    </w:p>
    <w:p>
      <w:pPr>
        <w:keepNext/>
        <w:spacing w:after="60"/>
        <w:jc w:val="center"/>
      </w:pPr>
      <w:r>
        <w:rPr>
          <w:rFonts w:ascii="Times New Roman" w:hAnsi="Times New Roman"/>
          <w:sz w:val="16"/>
        </w:rPr>
        <w:t>SAVED RANKING METRICS</w:t>
      </w:r>
    </w:p>
    <w:tbl>
      <w:tblPr>
        <w:tblStyle w:val="TableGrid"/>
        <w:tblW w:type="auto" w:w="0"/>
        <w:jc w:val="center"/>
        <w:tblLayout w:type="fixed"/>
        <w:tblLook w:firstColumn="1" w:firstRow="1" w:lastColumn="0" w:lastRow="0" w:noHBand="0" w:noVBand="1" w:val="04A0"/>
      </w:tblPr>
      <w:tblGrid>
        <w:gridCol w:w="1491"/>
        <w:gridCol w:w="1491"/>
        <w:gridCol w:w="1491"/>
        <w:gridCol w:w="1491"/>
        <w:gridCol w:w="1491"/>
        <w:gridCol w:w="1491"/>
        <w:gridCol w:w="1491"/>
      </w:tblGrid>
      <w:tr>
        <w:tc>
          <w:tcPr>
            <w:tcW w:type="dxa" w:w="1008"/>
            <w:shd w:val="clear" w:color="auto" w:fill="E7E6E6"/>
          </w:tcPr>
          <w:p>
            <w:pPr>
              <w:keepNext/>
              <w:spacing w:after="0" w:line="240" w:lineRule="auto"/>
              <w:jc w:val="left"/>
            </w:pPr>
            <w:r>
              <w:rPr>
                <w:rFonts w:ascii="Times New Roman" w:hAnsi="Times New Roman"/>
                <w:b/>
                <w:i w:val="0"/>
                <w:sz w:val="15"/>
              </w:rPr>
              <w:t>Ranker</w:t>
            </w:r>
          </w:p>
        </w:tc>
        <w:tc>
          <w:tcPr>
            <w:tcW w:type="dxa" w:w="720"/>
            <w:shd w:val="clear" w:color="auto" w:fill="E7E6E6"/>
          </w:tcPr>
          <w:p>
            <w:pPr>
              <w:keepNext/>
              <w:spacing w:after="0" w:line="240" w:lineRule="auto"/>
              <w:jc w:val="center"/>
            </w:pPr>
            <w:r>
              <w:rPr>
                <w:rFonts w:ascii="Times New Roman" w:hAnsi="Times New Roman"/>
                <w:b/>
                <w:i w:val="0"/>
                <w:sz w:val="15"/>
              </w:rPr>
              <w:t>Val. nDCG</w:t>
            </w:r>
          </w:p>
        </w:tc>
        <w:tc>
          <w:tcPr>
            <w:tcW w:type="dxa" w:w="648"/>
            <w:shd w:val="clear" w:color="auto" w:fill="E7E6E6"/>
          </w:tcPr>
          <w:p>
            <w:pPr>
              <w:keepNext/>
              <w:spacing w:after="0" w:line="240" w:lineRule="auto"/>
              <w:jc w:val="center"/>
            </w:pPr>
            <w:r>
              <w:rPr>
                <w:rFonts w:ascii="Times New Roman" w:hAnsi="Times New Roman"/>
                <w:b/>
                <w:i w:val="0"/>
                <w:sz w:val="15"/>
              </w:rPr>
              <w:t>Val. P@5</w:t>
            </w:r>
          </w:p>
        </w:tc>
        <w:tc>
          <w:tcPr>
            <w:tcW w:type="dxa" w:w="720"/>
            <w:shd w:val="clear" w:color="auto" w:fill="E7E6E6"/>
          </w:tcPr>
          <w:p>
            <w:pPr>
              <w:keepNext/>
              <w:spacing w:after="0" w:line="240" w:lineRule="auto"/>
              <w:jc w:val="center"/>
            </w:pPr>
            <w:r>
              <w:rPr>
                <w:rFonts w:ascii="Times New Roman" w:hAnsi="Times New Roman"/>
                <w:b/>
                <w:i w:val="0"/>
                <w:sz w:val="15"/>
              </w:rPr>
              <w:t>Test nDCG</w:t>
            </w:r>
          </w:p>
        </w:tc>
        <w:tc>
          <w:tcPr>
            <w:tcW w:type="dxa" w:w="648"/>
            <w:shd w:val="clear" w:color="auto" w:fill="E7E6E6"/>
          </w:tcPr>
          <w:p>
            <w:pPr>
              <w:keepNext/>
              <w:spacing w:after="0" w:line="240" w:lineRule="auto"/>
              <w:jc w:val="center"/>
            </w:pPr>
            <w:r>
              <w:rPr>
                <w:rFonts w:ascii="Times New Roman" w:hAnsi="Times New Roman"/>
                <w:b/>
                <w:i w:val="0"/>
                <w:sz w:val="15"/>
              </w:rPr>
              <w:t>Test P@5</w:t>
            </w:r>
          </w:p>
        </w:tc>
        <w:tc>
          <w:tcPr>
            <w:tcW w:type="dxa" w:w="648"/>
            <w:shd w:val="clear" w:color="auto" w:fill="E7E6E6"/>
          </w:tcPr>
          <w:p>
            <w:pPr>
              <w:keepNext/>
              <w:spacing w:after="0" w:line="240" w:lineRule="auto"/>
              <w:jc w:val="center"/>
            </w:pPr>
            <w:r>
              <w:rPr>
                <w:rFonts w:ascii="Times New Roman" w:hAnsi="Times New Roman"/>
                <w:b/>
                <w:i w:val="0"/>
                <w:sz w:val="15"/>
              </w:rPr>
              <w:t>Test R@5</w:t>
            </w:r>
          </w:p>
        </w:tc>
        <w:tc>
          <w:tcPr>
            <w:tcW w:type="dxa" w:w="576"/>
            <w:shd w:val="clear" w:color="auto" w:fill="E7E6E6"/>
          </w:tcPr>
          <w:p>
            <w:pPr>
              <w:keepNext/>
              <w:spacing w:after="0" w:line="240" w:lineRule="auto"/>
              <w:jc w:val="center"/>
            </w:pPr>
            <w:r>
              <w:rPr>
                <w:rFonts w:ascii="Times New Roman" w:hAnsi="Times New Roman"/>
                <w:b/>
                <w:i w:val="0"/>
                <w:sz w:val="15"/>
              </w:rPr>
              <w:t>Test ms</w:t>
            </w:r>
          </w:p>
        </w:tc>
      </w:tr>
      <w:tr>
        <w:tc>
          <w:tcPr>
            <w:tcW w:type="dxa" w:w="1008"/>
          </w:tcPr>
          <w:p>
            <w:pPr>
              <w:keepNext/>
              <w:spacing w:after="0" w:line="240" w:lineRule="auto"/>
              <w:jc w:val="left"/>
            </w:pPr>
            <w:r>
              <w:rPr>
                <w:rFonts w:ascii="Times New Roman" w:hAnsi="Times New Roman"/>
                <w:b w:val="0"/>
                <w:i w:val="0"/>
                <w:sz w:val="15"/>
              </w:rPr>
              <w:t>TF-IDF</w:t>
            </w:r>
          </w:p>
        </w:tc>
        <w:tc>
          <w:tcPr>
            <w:tcW w:type="dxa" w:w="720"/>
          </w:tcPr>
          <w:p>
            <w:pPr>
              <w:keepNext/>
              <w:spacing w:after="0" w:line="240" w:lineRule="auto"/>
              <w:jc w:val="center"/>
            </w:pPr>
            <w:r>
              <w:rPr>
                <w:rFonts w:ascii="Times New Roman" w:hAnsi="Times New Roman"/>
                <w:b w:val="0"/>
                <w:i w:val="0"/>
                <w:sz w:val="15"/>
              </w:rPr>
              <w:t>1.0</w:t>
            </w:r>
          </w:p>
        </w:tc>
        <w:tc>
          <w:tcPr>
            <w:tcW w:type="dxa" w:w="648"/>
          </w:tcPr>
          <w:p>
            <w:pPr>
              <w:keepNext/>
              <w:spacing w:after="0" w:line="240" w:lineRule="auto"/>
              <w:jc w:val="center"/>
            </w:pPr>
            <w:r>
              <w:rPr>
                <w:rFonts w:ascii="Times New Roman" w:hAnsi="Times New Roman"/>
                <w:b w:val="0"/>
                <w:i w:val="0"/>
                <w:sz w:val="15"/>
              </w:rPr>
              <w:t>0.6</w:t>
            </w:r>
          </w:p>
        </w:tc>
        <w:tc>
          <w:tcPr>
            <w:tcW w:type="dxa" w:w="720"/>
          </w:tcPr>
          <w:p>
            <w:pPr>
              <w:keepNext/>
              <w:spacing w:after="0" w:line="240" w:lineRule="auto"/>
              <w:jc w:val="center"/>
            </w:pPr>
            <w:r>
              <w:rPr>
                <w:rFonts w:ascii="Times New Roman" w:hAnsi="Times New Roman"/>
                <w:b w:val="0"/>
                <w:i w:val="0"/>
                <w:sz w:val="15"/>
              </w:rPr>
              <w:t>1.0</w:t>
            </w:r>
          </w:p>
        </w:tc>
        <w:tc>
          <w:tcPr>
            <w:tcW w:type="dxa" w:w="648"/>
          </w:tcPr>
          <w:p>
            <w:pPr>
              <w:keepNext/>
              <w:spacing w:after="0" w:line="240" w:lineRule="auto"/>
              <w:jc w:val="center"/>
            </w:pPr>
            <w:r>
              <w:rPr>
                <w:rFonts w:ascii="Times New Roman" w:hAnsi="Times New Roman"/>
                <w:b w:val="0"/>
                <w:i w:val="0"/>
                <w:sz w:val="15"/>
              </w:rPr>
              <w:t>1.0</w:t>
            </w:r>
          </w:p>
        </w:tc>
        <w:tc>
          <w:tcPr>
            <w:tcW w:type="dxa" w:w="648"/>
          </w:tcPr>
          <w:p>
            <w:pPr>
              <w:keepNext/>
              <w:spacing w:after="0" w:line="240" w:lineRule="auto"/>
              <w:jc w:val="center"/>
            </w:pPr>
            <w:r>
              <w:rPr>
                <w:rFonts w:ascii="Times New Roman" w:hAnsi="Times New Roman"/>
                <w:b w:val="0"/>
                <w:i w:val="0"/>
                <w:sz w:val="15"/>
              </w:rPr>
              <w:t>0.917</w:t>
            </w:r>
          </w:p>
        </w:tc>
        <w:tc>
          <w:tcPr>
            <w:tcW w:type="dxa" w:w="576"/>
          </w:tcPr>
          <w:p>
            <w:pPr>
              <w:keepNext/>
              <w:spacing w:after="0" w:line="240" w:lineRule="auto"/>
              <w:jc w:val="center"/>
            </w:pPr>
            <w:r>
              <w:rPr>
                <w:rFonts w:ascii="Times New Roman" w:hAnsi="Times New Roman"/>
                <w:b w:val="0"/>
                <w:i w:val="0"/>
                <w:sz w:val="15"/>
              </w:rPr>
              <w:t>26.9</w:t>
            </w:r>
          </w:p>
        </w:tc>
      </w:tr>
      <w:tr>
        <w:tc>
          <w:tcPr>
            <w:tcW w:type="dxa" w:w="1008"/>
          </w:tcPr>
          <w:p>
            <w:pPr>
              <w:keepNext/>
              <w:spacing w:after="0" w:line="240" w:lineRule="auto"/>
              <w:jc w:val="left"/>
            </w:pPr>
            <w:r>
              <w:rPr>
                <w:rFonts w:ascii="Times New Roman" w:hAnsi="Times New Roman"/>
                <w:b w:val="0"/>
                <w:i w:val="0"/>
                <w:sz w:val="15"/>
              </w:rPr>
              <w:t>S-BERT</w:t>
            </w:r>
          </w:p>
        </w:tc>
        <w:tc>
          <w:tcPr>
            <w:tcW w:type="dxa" w:w="720"/>
          </w:tcPr>
          <w:p>
            <w:pPr>
              <w:keepNext/>
              <w:spacing w:after="0" w:line="240" w:lineRule="auto"/>
              <w:jc w:val="center"/>
            </w:pPr>
            <w:r>
              <w:rPr>
                <w:rFonts w:ascii="Times New Roman" w:hAnsi="Times New Roman"/>
                <w:b w:val="0"/>
                <w:i w:val="0"/>
                <w:sz w:val="15"/>
              </w:rPr>
              <w:t>1.0</w:t>
            </w:r>
          </w:p>
        </w:tc>
        <w:tc>
          <w:tcPr>
            <w:tcW w:type="dxa" w:w="648"/>
          </w:tcPr>
          <w:p>
            <w:pPr>
              <w:keepNext/>
              <w:spacing w:after="0" w:line="240" w:lineRule="auto"/>
              <w:jc w:val="center"/>
            </w:pPr>
            <w:r>
              <w:rPr>
                <w:rFonts w:ascii="Times New Roman" w:hAnsi="Times New Roman"/>
                <w:b w:val="0"/>
                <w:i w:val="0"/>
                <w:sz w:val="15"/>
              </w:rPr>
              <w:t>0.6</w:t>
            </w:r>
          </w:p>
        </w:tc>
        <w:tc>
          <w:tcPr>
            <w:tcW w:type="dxa" w:w="720"/>
          </w:tcPr>
          <w:p>
            <w:pPr>
              <w:keepNext/>
              <w:spacing w:after="0" w:line="240" w:lineRule="auto"/>
              <w:jc w:val="center"/>
            </w:pPr>
            <w:r>
              <w:rPr>
                <w:rFonts w:ascii="Times New Roman" w:hAnsi="Times New Roman"/>
                <w:b w:val="0"/>
                <w:i w:val="0"/>
                <w:sz w:val="15"/>
              </w:rPr>
              <w:t>1.0</w:t>
            </w:r>
          </w:p>
        </w:tc>
        <w:tc>
          <w:tcPr>
            <w:tcW w:type="dxa" w:w="648"/>
          </w:tcPr>
          <w:p>
            <w:pPr>
              <w:keepNext/>
              <w:spacing w:after="0" w:line="240" w:lineRule="auto"/>
              <w:jc w:val="center"/>
            </w:pPr>
            <w:r>
              <w:rPr>
                <w:rFonts w:ascii="Times New Roman" w:hAnsi="Times New Roman"/>
                <w:b w:val="0"/>
                <w:i w:val="0"/>
                <w:sz w:val="15"/>
              </w:rPr>
              <w:t>1.0</w:t>
            </w:r>
          </w:p>
        </w:tc>
        <w:tc>
          <w:tcPr>
            <w:tcW w:type="dxa" w:w="648"/>
          </w:tcPr>
          <w:p>
            <w:pPr>
              <w:keepNext/>
              <w:spacing w:after="0" w:line="240" w:lineRule="auto"/>
              <w:jc w:val="center"/>
            </w:pPr>
            <w:r>
              <w:rPr>
                <w:rFonts w:ascii="Times New Roman" w:hAnsi="Times New Roman"/>
                <w:b w:val="0"/>
                <w:i w:val="0"/>
                <w:sz w:val="15"/>
              </w:rPr>
              <w:t>0.917</w:t>
            </w:r>
          </w:p>
        </w:tc>
        <w:tc>
          <w:tcPr>
            <w:tcW w:type="dxa" w:w="576"/>
          </w:tcPr>
          <w:p>
            <w:pPr>
              <w:keepNext/>
              <w:spacing w:after="0" w:line="240" w:lineRule="auto"/>
              <w:jc w:val="center"/>
            </w:pPr>
            <w:r>
              <w:rPr>
                <w:rFonts w:ascii="Times New Roman" w:hAnsi="Times New Roman"/>
                <w:b w:val="0"/>
                <w:i w:val="0"/>
                <w:sz w:val="15"/>
              </w:rPr>
              <w:t>30.9</w:t>
            </w:r>
          </w:p>
        </w:tc>
      </w:tr>
      <w:tr>
        <w:tc>
          <w:tcPr>
            <w:tcW w:type="dxa" w:w="1008"/>
          </w:tcPr>
          <w:p>
            <w:pPr>
              <w:spacing w:after="0" w:line="240" w:lineRule="auto"/>
              <w:jc w:val="left"/>
            </w:pPr>
            <w:r>
              <w:rPr>
                <w:rFonts w:ascii="Times New Roman" w:hAnsi="Times New Roman"/>
                <w:b w:val="0"/>
                <w:i w:val="0"/>
                <w:sz w:val="15"/>
              </w:rPr>
              <w:t>Hybrid</w:t>
            </w:r>
          </w:p>
        </w:tc>
        <w:tc>
          <w:tcPr>
            <w:tcW w:type="dxa" w:w="720"/>
          </w:tcPr>
          <w:p>
            <w:pPr>
              <w:spacing w:after="0" w:line="240" w:lineRule="auto"/>
              <w:jc w:val="center"/>
            </w:pPr>
            <w:r>
              <w:rPr>
                <w:rFonts w:ascii="Times New Roman" w:hAnsi="Times New Roman"/>
                <w:b w:val="0"/>
                <w:i w:val="0"/>
                <w:sz w:val="15"/>
              </w:rPr>
              <w:t>1.0</w:t>
            </w:r>
          </w:p>
        </w:tc>
        <w:tc>
          <w:tcPr>
            <w:tcW w:type="dxa" w:w="648"/>
          </w:tcPr>
          <w:p>
            <w:pPr>
              <w:spacing w:after="0" w:line="240" w:lineRule="auto"/>
              <w:jc w:val="center"/>
            </w:pPr>
            <w:r>
              <w:rPr>
                <w:rFonts w:ascii="Times New Roman" w:hAnsi="Times New Roman"/>
                <w:b w:val="0"/>
                <w:i w:val="0"/>
                <w:sz w:val="15"/>
              </w:rPr>
              <w:t>0.6</w:t>
            </w:r>
          </w:p>
        </w:tc>
        <w:tc>
          <w:tcPr>
            <w:tcW w:type="dxa" w:w="720"/>
          </w:tcPr>
          <w:p>
            <w:pPr>
              <w:spacing w:after="0" w:line="240" w:lineRule="auto"/>
              <w:jc w:val="center"/>
            </w:pPr>
            <w:r>
              <w:rPr>
                <w:rFonts w:ascii="Times New Roman" w:hAnsi="Times New Roman"/>
                <w:b w:val="0"/>
                <w:i w:val="0"/>
                <w:sz w:val="15"/>
              </w:rPr>
              <w:t>0.743</w:t>
            </w:r>
          </w:p>
        </w:tc>
        <w:tc>
          <w:tcPr>
            <w:tcW w:type="dxa" w:w="648"/>
          </w:tcPr>
          <w:p>
            <w:pPr>
              <w:spacing w:after="0" w:line="240" w:lineRule="auto"/>
              <w:jc w:val="center"/>
            </w:pPr>
            <w:r>
              <w:rPr>
                <w:rFonts w:ascii="Times New Roman" w:hAnsi="Times New Roman"/>
                <w:b w:val="0"/>
                <w:i w:val="0"/>
                <w:sz w:val="15"/>
              </w:rPr>
              <w:t>0.7</w:t>
            </w:r>
          </w:p>
        </w:tc>
        <w:tc>
          <w:tcPr>
            <w:tcW w:type="dxa" w:w="648"/>
          </w:tcPr>
          <w:p>
            <w:pPr>
              <w:spacing w:after="0" w:line="240" w:lineRule="auto"/>
              <w:jc w:val="center"/>
            </w:pPr>
            <w:r>
              <w:rPr>
                <w:rFonts w:ascii="Times New Roman" w:hAnsi="Times New Roman"/>
                <w:b w:val="0"/>
                <w:i w:val="0"/>
                <w:sz w:val="15"/>
              </w:rPr>
              <w:t>0.667</w:t>
            </w:r>
          </w:p>
        </w:tc>
        <w:tc>
          <w:tcPr>
            <w:tcW w:type="dxa" w:w="576"/>
          </w:tcPr>
          <w:p>
            <w:pPr>
              <w:spacing w:after="0" w:line="240" w:lineRule="auto"/>
              <w:jc w:val="center"/>
            </w:pPr>
            <w:r>
              <w:rPr>
                <w:rFonts w:ascii="Times New Roman" w:hAnsi="Times New Roman"/>
                <w:b w:val="0"/>
                <w:i w:val="0"/>
                <w:sz w:val="15"/>
              </w:rPr>
              <w:t>29.0</w:t>
            </w:r>
          </w:p>
        </w:tc>
      </w:tr>
    </w:tbl>
    <w:p>
      <w:pPr>
        <w:spacing w:after="40"/>
      </w:pPr>
    </w:p>
    <w:p>
      <w:pPr>
        <w:keepNext/>
        <w:spacing w:before="80" w:after="40"/>
        <w:jc w:val="left"/>
      </w:pPr>
      <w:r>
        <w:rPr>
          <w:rFonts w:ascii="Times New Roman" w:hAnsi="Times New Roman"/>
          <w:i/>
          <w:sz w:val="20"/>
        </w:rPr>
        <w:t>B. Deployment verification</w:t>
      </w:r>
    </w:p>
    <w:p>
      <w:pPr>
        <w:spacing w:after="60" w:before="0" w:line="240" w:lineRule="auto"/>
        <w:ind w:firstLine="245"/>
        <w:jc w:val="both"/>
      </w:pPr>
      <w:r>
        <w:rPr>
          <w:rFonts w:ascii="Times New Roman" w:hAnsi="Times New Roman"/>
          <w:b w:val="0"/>
          <w:i w:val="0"/>
          <w:sz w:val="20"/>
        </w:rPr>
        <w:t>Table V lists checks run against the live system. Every value is taken from command output.</w:t>
      </w:r>
    </w:p>
    <w:p>
      <w:pPr>
        <w:keepNext/>
        <w:spacing w:before="120" w:after="0"/>
        <w:jc w:val="center"/>
      </w:pPr>
      <w:r>
        <w:rPr>
          <w:rFonts w:ascii="Times New Roman" w:hAnsi="Times New Roman"/>
          <w:sz w:val="16"/>
        </w:rPr>
        <w:t>TABLE V</w:t>
      </w:r>
    </w:p>
    <w:p>
      <w:pPr>
        <w:keepNext/>
        <w:spacing w:after="60"/>
        <w:jc w:val="center"/>
      </w:pPr>
      <w:r>
        <w:rPr>
          <w:rFonts w:ascii="Times New Roman" w:hAnsi="Times New Roman"/>
          <w:sz w:val="16"/>
        </w:rPr>
        <w:t>CHECKS ON THE LIVE DEPLOYMENT</w:t>
      </w:r>
    </w:p>
    <w:tbl>
      <w:tblPr>
        <w:tblStyle w:val="TableGrid"/>
        <w:tblW w:type="auto" w:w="0"/>
        <w:jc w:val="center"/>
        <w:tblLayout w:type="fixed"/>
        <w:tblLook w:firstColumn="1" w:firstRow="1" w:lastColumn="0" w:lastRow="0" w:noHBand="0" w:noVBand="1" w:val="04A0"/>
      </w:tblPr>
      <w:tblGrid>
        <w:gridCol w:w="5220"/>
        <w:gridCol w:w="5220"/>
      </w:tblGrid>
      <w:tr>
        <w:tc>
          <w:tcPr>
            <w:tcW w:type="dxa" w:w="1584"/>
            <w:shd w:val="clear" w:color="auto" w:fill="E7E6E6"/>
          </w:tcPr>
          <w:p>
            <w:pPr>
              <w:keepNext/>
              <w:spacing w:after="0" w:line="240" w:lineRule="auto"/>
              <w:jc w:val="left"/>
            </w:pPr>
            <w:r>
              <w:rPr>
                <w:rFonts w:ascii="Times New Roman" w:hAnsi="Times New Roman"/>
                <w:b/>
                <w:i w:val="0"/>
                <w:sz w:val="16"/>
              </w:rPr>
              <w:t>Check</w:t>
            </w:r>
          </w:p>
        </w:tc>
        <w:tc>
          <w:tcPr>
            <w:tcW w:type="dxa" w:w="3312"/>
            <w:shd w:val="clear" w:color="auto" w:fill="E7E6E6"/>
          </w:tcPr>
          <w:p>
            <w:pPr>
              <w:keepNext/>
              <w:spacing w:after="0" w:line="240" w:lineRule="auto"/>
              <w:jc w:val="left"/>
            </w:pPr>
            <w:r>
              <w:rPr>
                <w:rFonts w:ascii="Times New Roman" w:hAnsi="Times New Roman"/>
                <w:b/>
                <w:i w:val="0"/>
                <w:sz w:val="16"/>
              </w:rPr>
              <w:t>Observed result</w:t>
            </w:r>
          </w:p>
        </w:tc>
      </w:tr>
      <w:tr>
        <w:tc>
          <w:tcPr>
            <w:tcW w:type="dxa" w:w="1584"/>
          </w:tcPr>
          <w:p>
            <w:pPr>
              <w:keepNext/>
              <w:spacing w:after="0" w:line="240" w:lineRule="auto"/>
              <w:jc w:val="left"/>
            </w:pPr>
            <w:r>
              <w:rPr>
                <w:rFonts w:ascii="Times New Roman" w:hAnsi="Times New Roman"/>
                <w:b w:val="0"/>
                <w:i w:val="0"/>
                <w:sz w:val="16"/>
              </w:rPr>
              <w:t>Pipeline run on push</w:t>
            </w:r>
          </w:p>
        </w:tc>
        <w:tc>
          <w:tcPr>
            <w:tcW w:type="dxa" w:w="3312"/>
          </w:tcPr>
          <w:p>
            <w:pPr>
              <w:keepNext/>
              <w:spacing w:after="0" w:line="240" w:lineRule="auto"/>
              <w:jc w:val="left"/>
            </w:pPr>
            <w:r>
              <w:rPr>
                <w:rFonts w:ascii="Times New Roman" w:hAnsi="Times New Roman"/>
                <w:b w:val="0"/>
                <w:i w:val="0"/>
                <w:sz w:val="16"/>
              </w:rPr>
              <w:t>Checks, build, publish, deploy: 5 of 5 jobs passed</w:t>
            </w:r>
          </w:p>
        </w:tc>
      </w:tr>
      <w:tr>
        <w:tc>
          <w:tcPr>
            <w:tcW w:type="dxa" w:w="1584"/>
          </w:tcPr>
          <w:p>
            <w:pPr>
              <w:keepNext/>
              <w:spacing w:after="0" w:line="240" w:lineRule="auto"/>
              <w:jc w:val="left"/>
            </w:pPr>
            <w:r>
              <w:rPr>
                <w:rFonts w:ascii="Times New Roman" w:hAnsi="Times New Roman"/>
                <w:b w:val="0"/>
                <w:i w:val="0"/>
                <w:sz w:val="16"/>
              </w:rPr>
              <w:t>Readiness</w:t>
            </w:r>
          </w:p>
        </w:tc>
        <w:tc>
          <w:tcPr>
            <w:tcW w:type="dxa" w:w="3312"/>
          </w:tcPr>
          <w:p>
            <w:pPr>
              <w:keepNext/>
              <w:spacing w:after="0" w:line="240" w:lineRule="auto"/>
              <w:jc w:val="left"/>
            </w:pPr>
            <w:r>
              <w:rPr>
                <w:rFonts w:ascii="Times New Roman" w:hAnsi="Times New Roman"/>
                <w:b w:val="0"/>
                <w:i w:val="0"/>
                <w:sz w:val="16"/>
              </w:rPr>
              <w:t>Status ready; bundle ded4d86e…; model b3e854956e87-574536b6</w:t>
            </w:r>
          </w:p>
        </w:tc>
      </w:tr>
      <w:tr>
        <w:tc>
          <w:tcPr>
            <w:tcW w:type="dxa" w:w="1584"/>
          </w:tcPr>
          <w:p>
            <w:pPr>
              <w:keepNext/>
              <w:spacing w:after="0" w:line="240" w:lineRule="auto"/>
              <w:jc w:val="left"/>
            </w:pPr>
            <w:r>
              <w:rPr>
                <w:rFonts w:ascii="Times New Roman" w:hAnsi="Times New Roman"/>
                <w:b w:val="0"/>
                <w:i w:val="0"/>
                <w:sz w:val="16"/>
              </w:rPr>
              <w:t>Live ingestion</w:t>
            </w:r>
          </w:p>
        </w:tc>
        <w:tc>
          <w:tcPr>
            <w:tcW w:type="dxa" w:w="3312"/>
          </w:tcPr>
          <w:p>
            <w:pPr>
              <w:keepNext/>
              <w:spacing w:after="0" w:line="240" w:lineRule="auto"/>
              <w:jc w:val="left"/>
            </w:pPr>
            <w:r>
              <w:rPr>
                <w:rFonts w:ascii="Times New Roman" w:hAnsi="Times New Roman"/>
                <w:b w:val="0"/>
                <w:i w:val="0"/>
                <w:sz w:val="16"/>
              </w:rPr>
              <w:t>1,052 postings (714, 306, 32); 7 duplicates; 1,045 stored</w:t>
            </w:r>
          </w:p>
        </w:tc>
      </w:tr>
      <w:tr>
        <w:tc>
          <w:tcPr>
            <w:tcW w:type="dxa" w:w="1584"/>
          </w:tcPr>
          <w:p>
            <w:pPr>
              <w:keepNext/>
              <w:spacing w:after="0" w:line="240" w:lineRule="auto"/>
              <w:jc w:val="left"/>
            </w:pPr>
            <w:r>
              <w:rPr>
                <w:rFonts w:ascii="Times New Roman" w:hAnsi="Times New Roman"/>
                <w:b w:val="0"/>
                <w:i w:val="0"/>
                <w:sz w:val="16"/>
              </w:rPr>
              <w:t>No token</w:t>
            </w:r>
          </w:p>
        </w:tc>
        <w:tc>
          <w:tcPr>
            <w:tcW w:type="dxa" w:w="3312"/>
          </w:tcPr>
          <w:p>
            <w:pPr>
              <w:keepNext/>
              <w:spacing w:after="0" w:line="240" w:lineRule="auto"/>
              <w:jc w:val="left"/>
            </w:pPr>
            <w:r>
              <w:rPr>
                <w:rFonts w:ascii="Times New Roman" w:hAnsi="Times New Roman"/>
                <w:b w:val="0"/>
                <w:i w:val="0"/>
                <w:sz w:val="16"/>
              </w:rPr>
              <w:t>HTTP 401</w:t>
            </w:r>
          </w:p>
        </w:tc>
      </w:tr>
      <w:tr>
        <w:tc>
          <w:tcPr>
            <w:tcW w:type="dxa" w:w="1584"/>
          </w:tcPr>
          <w:p>
            <w:pPr>
              <w:keepNext/>
              <w:spacing w:after="0" w:line="240" w:lineRule="auto"/>
              <w:jc w:val="left"/>
            </w:pPr>
            <w:r>
              <w:rPr>
                <w:rFonts w:ascii="Times New Roman" w:hAnsi="Times New Roman"/>
                <w:b w:val="0"/>
                <w:i w:val="0"/>
                <w:sz w:val="16"/>
              </w:rPr>
              <w:t>Candidate token</w:t>
            </w:r>
          </w:p>
        </w:tc>
        <w:tc>
          <w:tcPr>
            <w:tcW w:type="dxa" w:w="3312"/>
          </w:tcPr>
          <w:p>
            <w:pPr>
              <w:keepNext/>
              <w:spacing w:after="0" w:line="240" w:lineRule="auto"/>
              <w:jc w:val="left"/>
            </w:pPr>
            <w:r>
              <w:rPr>
                <w:rFonts w:ascii="Times New Roman" w:hAnsi="Times New Roman"/>
                <w:b w:val="0"/>
                <w:i w:val="0"/>
                <w:sz w:val="16"/>
              </w:rPr>
              <w:t>Ranked jobs with explanation; no fallback</w:t>
            </w:r>
          </w:p>
        </w:tc>
      </w:tr>
      <w:tr>
        <w:tc>
          <w:tcPr>
            <w:tcW w:type="dxa" w:w="1584"/>
          </w:tcPr>
          <w:p>
            <w:pPr>
              <w:keepNext/>
              <w:spacing w:after="0" w:line="240" w:lineRule="auto"/>
              <w:jc w:val="left"/>
            </w:pPr>
            <w:r>
              <w:rPr>
                <w:rFonts w:ascii="Times New Roman" w:hAnsi="Times New Roman"/>
                <w:b w:val="0"/>
                <w:i w:val="0"/>
                <w:sz w:val="16"/>
              </w:rPr>
              <w:t>Foreign origin</w:t>
            </w:r>
          </w:p>
        </w:tc>
        <w:tc>
          <w:tcPr>
            <w:tcW w:type="dxa" w:w="3312"/>
          </w:tcPr>
          <w:p>
            <w:pPr>
              <w:keepNext/>
              <w:spacing w:after="0" w:line="240" w:lineRule="auto"/>
              <w:jc w:val="left"/>
            </w:pPr>
            <w:r>
              <w:rPr>
                <w:rFonts w:ascii="Times New Roman" w:hAnsi="Times New Roman"/>
                <w:b w:val="0"/>
                <w:i w:val="0"/>
                <w:sz w:val="16"/>
              </w:rPr>
              <w:t>Cross-origin request refused</w:t>
            </w:r>
          </w:p>
        </w:tc>
      </w:tr>
      <w:tr>
        <w:tc>
          <w:tcPr>
            <w:tcW w:type="dxa" w:w="1584"/>
          </w:tcPr>
          <w:p>
            <w:pPr>
              <w:keepNext/>
              <w:spacing w:after="0" w:line="240" w:lineRule="auto"/>
              <w:jc w:val="left"/>
            </w:pPr>
            <w:r>
              <w:rPr>
                <w:rFonts w:ascii="Times New Roman" w:hAnsi="Times New Roman"/>
                <w:b w:val="0"/>
                <w:i w:val="0"/>
                <w:sz w:val="16"/>
              </w:rPr>
              <w:t>Certificate</w:t>
            </w:r>
          </w:p>
        </w:tc>
        <w:tc>
          <w:tcPr>
            <w:tcW w:type="dxa" w:w="3312"/>
          </w:tcPr>
          <w:p>
            <w:pPr>
              <w:keepNext/>
              <w:spacing w:after="0" w:line="240" w:lineRule="auto"/>
              <w:jc w:val="left"/>
            </w:pPr>
            <w:r>
              <w:rPr>
                <w:rFonts w:ascii="Times New Roman" w:hAnsi="Times New Roman"/>
                <w:b w:val="0"/>
                <w:i w:val="0"/>
                <w:sz w:val="16"/>
              </w:rPr>
              <w:t>Let's Encrypt; HTTP redirects to HTTPS</w:t>
            </w:r>
          </w:p>
        </w:tc>
      </w:tr>
      <w:tr>
        <w:tc>
          <w:tcPr>
            <w:tcW w:type="dxa" w:w="1584"/>
          </w:tcPr>
          <w:p>
            <w:pPr>
              <w:spacing w:after="0" w:line="240" w:lineRule="auto"/>
              <w:jc w:val="left"/>
            </w:pPr>
            <w:r>
              <w:rPr>
                <w:rFonts w:ascii="Times New Roman" w:hAnsi="Times New Roman"/>
                <w:b w:val="0"/>
                <w:i w:val="0"/>
                <w:sz w:val="16"/>
              </w:rPr>
              <w:t>Crash recovery</w:t>
            </w:r>
          </w:p>
        </w:tc>
        <w:tc>
          <w:tcPr>
            <w:tcW w:type="dxa" w:w="3312"/>
          </w:tcPr>
          <w:p>
            <w:pPr>
              <w:spacing w:after="0" w:line="240" w:lineRule="auto"/>
              <w:jc w:val="left"/>
            </w:pPr>
            <w:r>
              <w:rPr>
                <w:rFonts w:ascii="Times New Roman" w:hAnsi="Times New Roman"/>
                <w:b w:val="0"/>
                <w:i w:val="0"/>
                <w:sz w:val="16"/>
              </w:rPr>
              <w:t>About 4 s; restart count 1</w:t>
            </w:r>
          </w:p>
        </w:tc>
      </w:tr>
    </w:tbl>
    <w:p>
      <w:pPr>
        <w:spacing w:after="40"/>
      </w:pPr>
    </w:p>
    <w:p>
      <w:pPr>
        <w:keepNext/>
        <w:spacing w:before="80" w:after="40"/>
        <w:jc w:val="left"/>
      </w:pPr>
      <w:r>
        <w:rPr>
          <w:rFonts w:ascii="Times New Roman" w:hAnsi="Times New Roman"/>
          <w:i/>
          <w:sz w:val="20"/>
        </w:rPr>
        <w:t>C. Operational observations</w:t>
      </w:r>
    </w:p>
    <w:p>
      <w:pPr>
        <w:spacing w:after="60" w:before="0" w:line="240" w:lineRule="auto"/>
        <w:ind w:firstLine="245"/>
        <w:jc w:val="both"/>
      </w:pPr>
      <w:r>
        <w:rPr>
          <w:rFonts w:ascii="Times New Roman" w:hAnsi="Times New Roman"/>
          <w:b w:val="0"/>
          <w:i w:val="0"/>
          <w:sz w:val="20"/>
        </w:rPr>
        <w:t xml:space="preserve">The compressed API image is about 0.62 GB and the web image about 26 MB. Two ranking requests for five results, against a store of 1,045 jobs, took 2.1 s and 2.4 s on the host, including database access and scoring. Recovery from a killed server process took about four seconds. Stopping the container with </w:t>
      </w:r>
      <w:r>
        <w:rPr>
          <w:rFonts w:ascii="Courier New" w:hAnsi="Courier New" w:eastAsia="Courier New"/>
          <w:sz w:val="17"/>
        </w:rPr>
        <w:t>docker kill</w:t>
      </w:r>
      <w:r>
        <w:rPr>
          <w:rFonts w:ascii="Times New Roman" w:hAnsi="Times New Roman"/>
          <w:b w:val="0"/>
          <w:i w:val="0"/>
          <w:sz w:val="20"/>
        </w:rPr>
        <w:t xml:space="preserve"> is not a valid crash test, because Docker treats it as a manual stop and leaves the container down.</w:t>
      </w:r>
    </w:p>
    <w:p>
      <w:pPr>
        <w:keepNext/>
        <w:spacing w:before="80" w:after="40"/>
        <w:jc w:val="left"/>
      </w:pPr>
      <w:r>
        <w:rPr>
          <w:rFonts w:ascii="Times New Roman" w:hAnsi="Times New Roman"/>
          <w:i/>
          <w:sz w:val="20"/>
        </w:rPr>
        <w:t>D. Threats to validity</w:t>
      </w:r>
    </w:p>
    <w:p>
      <w:pPr>
        <w:spacing w:after="60" w:before="0" w:line="240" w:lineRule="auto"/>
        <w:ind w:firstLine="245"/>
        <w:jc w:val="both"/>
      </w:pPr>
      <w:r>
        <w:rPr>
          <w:rFonts w:ascii="Times New Roman" w:hAnsi="Times New Roman"/>
          <w:b w:val="0"/>
          <w:i w:val="0"/>
          <w:sz w:val="20"/>
        </w:rPr>
        <w:t>The benchmark is small and its labels were written during development, so ranking metrics carry little statistical weight. Timings come from single observations on one host. The deployment was verified on one cloud account and one region.</w:t>
      </w:r>
    </w:p>
    <w:p>
      <w:pPr>
        <w:keepNext/>
        <w:spacing w:before="160" w:after="80"/>
        <w:jc w:val="center"/>
      </w:pPr>
      <w:r>
        <w:rPr>
          <w:rFonts w:ascii="Times New Roman" w:hAnsi="Times New Roman"/>
          <w:sz w:val="20"/>
        </w:rPr>
        <w:t>IX. CHALLENGES AND LESSONS LEARNED</w:t>
      </w:r>
    </w:p>
    <w:p>
      <w:pPr>
        <w:spacing w:after="60" w:before="0" w:line="240" w:lineRule="auto"/>
        <w:ind w:firstLine="245"/>
        <w:jc w:val="both"/>
      </w:pPr>
      <w:r>
        <w:rPr>
          <w:rFonts w:ascii="Times New Roman" w:hAnsi="Times New Roman"/>
          <w:b w:val="0"/>
          <w:i w:val="0"/>
          <w:sz w:val="20"/>
        </w:rPr>
        <w:t>Five problems arose during deployment and none was solved by weakening a safety check. (1) Production refused a plain HTTP address, because the configuration rejects non-HTTPS origins; the site is served over HTTPS on an IP-derived hostname instead. (2) GitHub could not assume the AWS role, because newer repositories use a subject format that includes owner and repository IDs; the trust policy now accepts both formats. (3) On a forked repository, pushes did not start the workflow until the Actions permission was set explicitly; the cause was not investigated further. (4) The planned crash test did not trigger a restart, for the reason given in Section VIII; the test was corrected. (5) A new MLflow server starts empty, so the original run history was copied across with a checksum check. The common lesson is that a pipeline has to be verified end to end with real pushes and real failures, since each of these problems appeared only in the live system.</w:t>
      </w:r>
    </w:p>
    <w:p>
      <w:pPr>
        <w:keepNext/>
        <w:spacing w:before="160" w:after="80"/>
        <w:jc w:val="center"/>
      </w:pPr>
      <w:r>
        <w:rPr>
          <w:rFonts w:ascii="Times New Roman" w:hAnsi="Times New Roman"/>
          <w:sz w:val="20"/>
        </w:rPr>
        <w:t>X. LIMITATIONS AND FUTURE WORK</w:t>
      </w:r>
    </w:p>
    <w:p>
      <w:pPr>
        <w:spacing w:after="60" w:before="0" w:line="240" w:lineRule="auto"/>
        <w:ind w:firstLine="245"/>
        <w:jc w:val="both"/>
      </w:pPr>
      <w:r>
        <w:rPr>
          <w:rFonts w:ascii="Times New Roman" w:hAnsi="Times New Roman"/>
          <w:b w:val="0"/>
          <w:i w:val="0"/>
          <w:sz w:val="20"/>
        </w:rPr>
        <w:t>One shared candidate token and one admin token protect the site, so there are no per-user accounts. Alert rules exist but nothing receives them. There is no drift detection or host metrics. The system runs on a single host, and database migrations are not rolled back automatically. Recovery after a reboot is expected from the restart policies but was not tested. Future work is a human-labelled benchmark of at least 30 real queries, per-user accounts, alert delivery, drift monitoring of resume and job features, infrastructure as code for the AWS resources, off-host backups and zero-downtime releases.</w:t>
      </w:r>
    </w:p>
    <w:p>
      <w:pPr>
        <w:keepNext/>
        <w:spacing w:before="160" w:after="80"/>
        <w:jc w:val="center"/>
      </w:pPr>
      <w:r>
        <w:rPr>
          <w:rFonts w:ascii="Times New Roman" w:hAnsi="Times New Roman"/>
          <w:sz w:val="20"/>
        </w:rPr>
        <w:t>XI. CONCLUSION</w:t>
      </w:r>
    </w:p>
    <w:p>
      <w:pPr>
        <w:spacing w:after="60" w:before="0" w:line="240" w:lineRule="auto"/>
        <w:ind w:firstLine="245"/>
        <w:jc w:val="both"/>
      </w:pPr>
      <w:r>
        <w:rPr>
          <w:rFonts w:ascii="Times New Roman" w:hAnsi="Times New Roman"/>
          <w:b w:val="0"/>
          <w:i w:val="0"/>
          <w:sz w:val="20"/>
        </w:rPr>
        <w:t>CareerFlowOps carries a ranking model from versioned data to a verified, monitored service on AWS. DVC and MLflow make the model reproducible and its experiments comparable, a checksummed bundle lets the server refuse an unverified model, and a keyless GitHub Actions pipeline delivers immutable images to EC2. The live system was verified end to end, and its limits, mainly the small benchmark and the shared token, are stated. The same structure applies to larger models and teams, with the limits above addressed first.</w:t>
      </w:r>
    </w:p>
    <w:p>
      <w:pPr>
        <w:keepNext/>
        <w:spacing w:before="160" w:after="80"/>
        <w:jc w:val="center"/>
      </w:pPr>
      <w:r>
        <w:rPr>
          <w:rFonts w:ascii="Times New Roman" w:hAnsi="Times New Roman"/>
          <w:sz w:val="20"/>
        </w:rPr>
        <w:t>REFERENCES</w:t>
      </w:r>
    </w:p>
    <w:p>
      <w:pPr>
        <w:spacing w:after="40" w:line="240" w:lineRule="auto"/>
        <w:ind w:left="432" w:hanging="432"/>
        <w:jc w:val="left"/>
      </w:pPr>
      <w:r>
        <w:rPr>
          <w:rFonts w:ascii="Times New Roman" w:hAnsi="Times New Roman"/>
          <w:b w:val="0"/>
          <w:i w:val="0"/>
          <w:sz w:val="16"/>
        </w:rPr>
        <w:t>[1]  D. Sculley et al., “Hidden technical debt in machine learning systems,” in Adv. Neural Inf. Process. Syst. 28, 2015, pp. 2503–2511.</w:t>
      </w:r>
    </w:p>
    <w:p>
      <w:pPr>
        <w:spacing w:after="40" w:line="240" w:lineRule="auto"/>
        <w:ind w:left="432" w:hanging="432"/>
        <w:jc w:val="left"/>
      </w:pPr>
      <w:r>
        <w:rPr>
          <w:rFonts w:ascii="Times New Roman" w:hAnsi="Times New Roman"/>
          <w:b w:val="0"/>
          <w:i w:val="0"/>
          <w:sz w:val="16"/>
        </w:rPr>
        <w:t>[2]  D. Kreuzberger, N. Kühl, and S. Hirschl, “Machine learning operations (MLOps): Overview, definition, and architecture,” IEEE Access, vol. 11, pp. 31866–31879, 2023.</w:t>
      </w:r>
    </w:p>
    <w:p>
      <w:pPr>
        <w:spacing w:after="40" w:line="240" w:lineRule="auto"/>
        <w:ind w:left="432" w:hanging="432"/>
        <w:jc w:val="left"/>
      </w:pPr>
      <w:r>
        <w:rPr>
          <w:rFonts w:ascii="Times New Roman" w:hAnsi="Times New Roman"/>
          <w:b w:val="0"/>
          <w:i w:val="0"/>
          <w:sz w:val="16"/>
        </w:rPr>
        <w:t>[3]  M. Zaharia et al., “Accelerating the machine learning lifecycle with MLflow,” IEEE Data Eng. Bull., vol. 41, no. 4, pp. 39–45, 2018.</w:t>
      </w:r>
    </w:p>
    <w:p>
      <w:pPr>
        <w:spacing w:after="40" w:line="240" w:lineRule="auto"/>
        <w:ind w:left="432" w:hanging="432"/>
        <w:jc w:val="left"/>
      </w:pPr>
      <w:r>
        <w:rPr>
          <w:rFonts w:ascii="Times New Roman" w:hAnsi="Times New Roman"/>
          <w:b w:val="0"/>
          <w:i w:val="0"/>
          <w:sz w:val="16"/>
        </w:rPr>
        <w:t>[4]  DVC Documentation, Iterative, Inc. [Online]. Available: https://dvc.org/doc</w:t>
      </w:r>
    </w:p>
    <w:p>
      <w:pPr>
        <w:spacing w:after="40" w:line="240" w:lineRule="auto"/>
        <w:ind w:left="432" w:hanging="432"/>
        <w:jc w:val="left"/>
      </w:pPr>
      <w:r>
        <w:rPr>
          <w:rFonts w:ascii="Times New Roman" w:hAnsi="Times New Roman"/>
          <w:b w:val="0"/>
          <w:i w:val="0"/>
          <w:sz w:val="16"/>
        </w:rPr>
        <w:t>[5]  J. Humble and D. Farley, Continuous Delivery. Boston, MA, USA: Addison-Wesley, 2010.</w:t>
      </w:r>
    </w:p>
    <w:p>
      <w:pPr>
        <w:spacing w:after="40" w:line="240" w:lineRule="auto"/>
        <w:ind w:left="432" w:hanging="432"/>
        <w:jc w:val="left"/>
      </w:pPr>
      <w:r>
        <w:rPr>
          <w:rFonts w:ascii="Times New Roman" w:hAnsi="Times New Roman"/>
          <w:b w:val="0"/>
          <w:i w:val="0"/>
          <w:sz w:val="16"/>
        </w:rPr>
        <w:t>[6]  G. Salton and C. Buckley, “Term-weighting approaches in automatic text retrieval,” Inf. Process. Manag., vol. 24, no. 5, pp. 513–523, 1988.</w:t>
      </w:r>
    </w:p>
    <w:p>
      <w:pPr>
        <w:spacing w:after="40" w:line="240" w:lineRule="auto"/>
        <w:ind w:left="432" w:hanging="432"/>
        <w:jc w:val="left"/>
      </w:pPr>
      <w:r>
        <w:rPr>
          <w:rFonts w:ascii="Times New Roman" w:hAnsi="Times New Roman"/>
          <w:b w:val="0"/>
          <w:i w:val="0"/>
          <w:sz w:val="16"/>
        </w:rPr>
        <w:t>[7]  N. Reimers and I. Gurevych, “Sentence-BERT: Sentence embeddings using Siamese BERT-networks,” in Proc. EMNLP-IJCNLP, 2019, pp. 3982–3992.</w:t>
      </w:r>
    </w:p>
    <w:p>
      <w:pPr>
        <w:spacing w:after="40" w:line="240" w:lineRule="auto"/>
        <w:ind w:left="432" w:hanging="432"/>
        <w:jc w:val="left"/>
      </w:pPr>
      <w:r>
        <w:rPr>
          <w:rFonts w:ascii="Times New Roman" w:hAnsi="Times New Roman"/>
          <w:b w:val="0"/>
          <w:i w:val="0"/>
          <w:sz w:val="16"/>
        </w:rPr>
        <w:t>[8]  W. Wang et al., “MiniLM: Deep self-attention distillation for task-agnostic compression of pre-trained transformers,” in Adv. Neural Inf. Process. Syst. 33, 2020, pp. 5776–5788.</w:t>
      </w:r>
    </w:p>
    <w:p>
      <w:pPr>
        <w:spacing w:after="40" w:line="240" w:lineRule="auto"/>
        <w:ind w:left="432" w:hanging="432"/>
        <w:jc w:val="left"/>
      </w:pPr>
      <w:r>
        <w:rPr>
          <w:rFonts w:ascii="Times New Roman" w:hAnsi="Times New Roman"/>
          <w:b w:val="0"/>
          <w:i w:val="0"/>
          <w:sz w:val="16"/>
        </w:rPr>
        <w:t>[9]  K. Järvelin and J. Kekäläinen, “Cumulated gain-based evaluation of IR techniques,” ACM Trans. Inf. Syst., vol. 20, no. 4, pp. 422–446, 2002.</w:t>
      </w:r>
    </w:p>
    <w:p>
      <w:pPr>
        <w:spacing w:after="40" w:line="240" w:lineRule="auto"/>
        <w:ind w:left="432" w:hanging="432"/>
        <w:jc w:val="left"/>
      </w:pPr>
      <w:r>
        <w:rPr>
          <w:rFonts w:ascii="Times New Roman" w:hAnsi="Times New Roman"/>
          <w:b w:val="0"/>
          <w:i w:val="0"/>
          <w:sz w:val="16"/>
        </w:rPr>
        <w:t>[10]  GitHub Docs, “Security hardening with OpenID Connect.” [Online]. Available: https://docs.github.com/actions</w:t>
      </w:r>
    </w:p>
    <w:p>
      <w:pPr>
        <w:spacing w:after="40" w:line="240" w:lineRule="auto"/>
        <w:ind w:left="432" w:hanging="432"/>
        <w:jc w:val="left"/>
      </w:pPr>
      <w:r>
        <w:rPr>
          <w:rFonts w:ascii="Times New Roman" w:hAnsi="Times New Roman"/>
          <w:b w:val="0"/>
          <w:i w:val="0"/>
          <w:sz w:val="16"/>
        </w:rPr>
        <w:t>[11]  AWS Documentation, “AWS Systems Manager Run Command.” [Online]. Available: https://docs.aws.amazon.com/systems-manager</w:t>
      </w:r>
    </w:p>
    <w:p>
      <w:pPr>
        <w:spacing w:after="40" w:line="240" w:lineRule="auto"/>
        <w:ind w:left="432" w:hanging="432"/>
        <w:jc w:val="left"/>
      </w:pPr>
      <w:r>
        <w:rPr>
          <w:rFonts w:ascii="Times New Roman" w:hAnsi="Times New Roman"/>
          <w:b w:val="0"/>
          <w:i w:val="0"/>
          <w:sz w:val="16"/>
        </w:rPr>
        <w:t>[12]  Prometheus Documentation. [Online]. Available: https://prometheus.io/docs</w:t>
      </w:r>
    </w:p>
    <w:sectPr w:rsidR="00FC693F" w:rsidRPr="0006063C" w:rsidSect="00034616">
      <w:type w:val="continuous"/>
      <w:pgSz w:w="12240" w:h="15840"/>
      <w:pgMar w:top="1080" w:right="900" w:bottom="1296"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