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00"/>
      </w:pPr>
      <w:r>
        <w:rPr>
          <w:rFonts w:ascii="Calibri" w:hAnsi="Calibri"/>
          <w:b/>
          <w:color w:val="2E74B5"/>
          <w:sz w:val="20"/>
        </w:rPr>
        <w:t>PROJECT TECHNICAL REPORT</w:t>
      </w:r>
    </w:p>
    <w:p>
      <w:pPr>
        <w:spacing w:after="160"/>
      </w:pPr>
      <w:r>
        <w:rPr>
          <w:rFonts w:ascii="Calibri" w:hAnsi="Calibri"/>
          <w:b/>
          <w:color w:val="17365D"/>
          <w:sz w:val="50"/>
        </w:rPr>
        <w:t>AI-Powered Fraud Detection Layer</w:t>
      </w:r>
    </w:p>
    <w:p>
      <w:pPr>
        <w:spacing w:after="440"/>
      </w:pPr>
      <w:r>
        <w:rPr>
          <w:rFonts w:ascii="Calibri" w:hAnsi="Calibri"/>
          <w:i/>
          <w:color w:val="667085"/>
          <w:sz w:val="30"/>
        </w:rPr>
        <w:t>XGBoost-Based Dynamic Wallet Trust Scoring (DWTS)</w:t>
      </w:r>
    </w:p>
    <w:p>
      <w:pPr>
        <w:spacing w:after="60"/>
      </w:pPr>
      <w:r>
        <w:rPr>
          <w:rFonts w:ascii="Calibri" w:hAnsi="Calibri"/>
          <w:b/>
          <w:color w:val="1F2937"/>
          <w:sz w:val="21"/>
        </w:rPr>
        <w:t xml:space="preserve">Document: </w:t>
      </w:r>
      <w:r>
        <w:rPr>
          <w:rFonts w:ascii="Calibri" w:hAnsi="Calibri"/>
          <w:color w:val="1F2937"/>
          <w:sz w:val="21"/>
        </w:rPr>
        <w:t>Current project state, technical workflow, and operational scope</w:t>
      </w:r>
    </w:p>
    <w:p>
      <w:pPr>
        <w:spacing w:after="60"/>
      </w:pPr>
      <w:r>
        <w:rPr>
          <w:rFonts w:ascii="Calibri" w:hAnsi="Calibri"/>
          <w:b/>
          <w:color w:val="1F2937"/>
          <w:sz w:val="21"/>
        </w:rPr>
        <w:t xml:space="preserve">Project type: </w:t>
      </w:r>
      <w:r>
        <w:rPr>
          <w:rFonts w:ascii="Calibri" w:hAnsi="Calibri"/>
          <w:color w:val="1F2937"/>
          <w:sz w:val="21"/>
        </w:rPr>
        <w:t>Working college prototype with production-oriented application controls</w:t>
      </w:r>
    </w:p>
    <w:p>
      <w:pPr>
        <w:spacing w:after="60"/>
      </w:pPr>
      <w:r>
        <w:rPr>
          <w:rFonts w:ascii="Calibri" w:hAnsi="Calibri"/>
          <w:b/>
          <w:color w:val="1F2937"/>
          <w:sz w:val="21"/>
        </w:rPr>
        <w:t xml:space="preserve">Data sources: </w:t>
      </w:r>
      <w:r>
        <w:rPr>
          <w:rFonts w:ascii="Calibri" w:hAnsi="Calibri"/>
          <w:color w:val="1F2937"/>
          <w:sz w:val="21"/>
        </w:rPr>
        <w:t>Kaggle Ethereum fraud dataset, provider-visible pending activity, and confirmed Ethereum mainnet activity</w:t>
      </w:r>
    </w:p>
    <w:p>
      <w:pPr>
        <w:spacing w:after="60"/>
      </w:pPr>
      <w:r>
        <w:rPr>
          <w:rFonts w:ascii="Calibri" w:hAnsi="Calibri"/>
          <w:b/>
          <w:color w:val="1F2937"/>
          <w:sz w:val="21"/>
        </w:rPr>
        <w:t xml:space="preserve">Application: </w:t>
      </w:r>
      <w:r>
        <w:rPr>
          <w:rFonts w:ascii="Calibri" w:hAnsi="Calibri"/>
          <w:color w:val="1F2937"/>
          <w:sz w:val="21"/>
        </w:rPr>
        <w:t>FastAPI backend, React dashboard, SQLite/PostgreSQL storage</w:t>
      </w:r>
    </w:p>
    <w:p>
      <w:pPr>
        <w:spacing w:after="60"/>
      </w:pPr>
      <w:r>
        <w:rPr>
          <w:rFonts w:ascii="Calibri" w:hAnsi="Calibri"/>
          <w:b/>
          <w:color w:val="1F2937"/>
          <w:sz w:val="21"/>
        </w:rPr>
        <w:t xml:space="preserve">Status: </w:t>
      </w:r>
      <w:r>
        <w:rPr>
          <w:rFonts w:ascii="Calibri" w:hAnsi="Calibri"/>
          <w:color w:val="1F2937"/>
          <w:sz w:val="21"/>
        </w:rPr>
        <w:t>End-to-end implementation verified</w:t>
      </w:r>
    </w:p>
    <w:p>
      <w:pPr>
        <w:spacing w:before="280" w:after="320"/>
        <w:pBdr>
          <w:bottom w:val="single" w:sz="18" w:space="1" w:color="2E74B5"/>
        </w:pBdr>
      </w:pPr>
    </w:p>
    <w:p>
      <w:pPr>
        <w:spacing w:before="140" w:after="180"/>
        <w:ind w:left="259" w:right="259"/>
        <w:shd w:fill="E8EEF5"/>
      </w:pPr>
      <w:r>
        <w:rPr>
          <w:rFonts w:ascii="Calibri" w:hAnsi="Calibri"/>
          <w:b/>
          <w:color w:val="17365D"/>
          <w:sz w:val="22"/>
        </w:rPr>
        <w:t xml:space="preserve">One-sentence explanation: </w:t>
      </w:r>
      <w:r>
        <w:rPr>
          <w:rFonts w:ascii="Calibri" w:hAnsi="Calibri"/>
          <w:color w:val="1F2937"/>
          <w:sz w:val="22"/>
        </w:rPr>
        <w:t>The system reads simulated, provider-visible pending, or confirmed Ethereum activity, uses a calibrated XGBoost model to estimate fraud risk, incrementally updates a persistent wallet trust score only for confirmed observations, and presents an explainable review recommendation through a real-time dashboard.</w:t>
      </w:r>
    </w:p>
    <w:p>
      <w:pPr>
        <w:spacing w:before="240"/>
        <w:jc w:val="center"/>
      </w:pPr>
      <w:r>
        <w:rPr>
          <w:rFonts w:ascii="Calibri" w:hAnsi="Calibri"/>
          <w:b/>
          <w:color w:val="9B1C1C"/>
          <w:sz w:val="20"/>
        </w:rPr>
        <w:t>This system provides review recommendations. It does not move funds or block blockchain transactions.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The project is a working prototype of an AI-powered Ethereum fraud-risk monitoring system. It observes wallet behaviour, estimates how closely that behaviour resembles known fraudulent wallets, maintains a changing trust score for each wallet, and displays an operational recommendation.</w:t>
      </w:r>
    </w:p>
    <w:p>
      <w:pPr>
        <w:pStyle w:val="ListBullet"/>
      </w:pPr>
      <w:r>
        <w:t>Observe - not enough wallet history for a reliable live assessment.</w:t>
      </w:r>
    </w:p>
    <w:p>
      <w:pPr>
        <w:pStyle w:val="ListBullet"/>
      </w:pPr>
      <w:r>
        <w:t>Approve - low apparent risk.</w:t>
      </w:r>
    </w:p>
    <w:p>
      <w:pPr>
        <w:pStyle w:val="ListBullet"/>
      </w:pPr>
      <w:r>
        <w:t>Delay - some risk is present.</w:t>
      </w:r>
    </w:p>
    <w:p>
      <w:pPr>
        <w:pStyle w:val="ListBullet"/>
      </w:pPr>
      <w:r>
        <w:t>Verify - significant risk requires investigation.</w:t>
      </w:r>
    </w:p>
    <w:p>
      <w:pPr>
        <w:pStyle w:val="ListBullet"/>
      </w:pPr>
      <w:r>
        <w:t>Block - very high apparent risk; this remains a recommendation only.</w:t>
      </w:r>
    </w:p>
    <w:p>
      <w:pPr>
        <w:spacing w:before="140" w:after="180"/>
        <w:ind w:left="259" w:right="259"/>
        <w:shd w:fill="F2F4F7"/>
      </w:pPr>
      <w:r>
        <w:rPr>
          <w:rFonts w:ascii="Calibri" w:hAnsi="Calibri"/>
          <w:b/>
          <w:color w:val="17365D"/>
          <w:sz w:val="22"/>
        </w:rPr>
        <w:t xml:space="preserve">Scope boundary: </w:t>
      </w:r>
      <w:r>
        <w:rPr>
          <w:rFonts w:ascii="Calibri" w:hAnsi="Calibri"/>
          <w:color w:val="1F2937"/>
          <w:sz w:val="22"/>
        </w:rPr>
        <w:t>The system provides advisory pending signals and pre-broadcast screening for integrated applications, then applies DWTS only after confirmation. It cannot see the global mempool, stop unrelated submissions, reverse transfers, or prove that a wallet committed fraud.</w:t>
      </w:r>
    </w:p>
    <w:p>
      <w:pPr>
        <w:pStyle w:val="Heading1"/>
      </w:pPr>
      <w:r>
        <w:t>What the project does today</w:t>
      </w:r>
    </w:p>
    <w:p>
      <w:pPr>
        <w:pStyle w:val="Heading2"/>
      </w:pPr>
      <w:r>
        <w:t>1. Simulated demonstration mode</w:t>
      </w:r>
    </w:p>
    <w:p>
      <w:r>
        <w:t>The dependable review-demo path replays the Kaggle Ethereum Fraud Detection Dataset one record at a time, runs real model inference, updates the wallet's persistent trust score, and sends the result to the dashboard. Replay wraps to the beginning after the final record.</w:t>
      </w:r>
    </w:p>
    <w:p>
      <w:pPr>
        <w:pStyle w:val="ListNumber2"/>
      </w:pPr>
      <w:r>
        <w:t>Reads a historical wallet record.</w:t>
      </w:r>
    </w:p>
    <w:p>
      <w:pPr>
        <w:pStyle w:val="ListNumber2"/>
      </w:pPr>
      <w:r>
        <w:t>Prepares the model features.</w:t>
      </w:r>
    </w:p>
    <w:p>
      <w:pPr>
        <w:pStyle w:val="ListNumber2"/>
      </w:pPr>
      <w:r>
        <w:t>Calculates a fraud probability using the saved XGBoost pipeline.</w:t>
      </w:r>
    </w:p>
    <w:p>
      <w:pPr>
        <w:pStyle w:val="ListNumber2"/>
      </w:pPr>
      <w:r>
        <w:t>Updates DWTS in the database.</w:t>
      </w:r>
    </w:p>
    <w:p>
      <w:pPr>
        <w:pStyle w:val="ListNumber2"/>
      </w:pPr>
      <w:r>
        <w:t>Displays the probability, score, score history, and recommendation.</w:t>
      </w:r>
    </w:p>
    <w:p>
      <w:pPr>
        <w:pStyle w:val="Heading2"/>
      </w:pPr>
      <w:r>
        <w:t>2. Pending and confirmed Ethereum modes</w:t>
      </w:r>
    </w:p>
    <w:p>
      <w:r>
        <w:t>Pending mode uses a provider WebSocket for advisory assessments without changing DWTS. Confirmed mode uses an HTTPS provider to read Ethereum mainnet blocks, store native ETH and ERC-20 Transfer events, rebuild wallet behaviour aggregates, and apply the persistent trust-scoring policy.</w:t>
      </w:r>
    </w:p>
    <w:p>
      <w:pPr>
        <w:pStyle w:val="ListNumber"/>
      </w:pPr>
      <w:r>
        <w:t>Assess provider-visible pending transactions without updating DWTS.</w:t>
      </w:r>
    </w:p>
    <w:p>
      <w:pPr>
        <w:pStyle w:val="ListNumber"/>
      </w:pPr>
      <w:r>
        <w:t>Wait for the configured confirmation depth.</w:t>
      </w:r>
    </w:p>
    <w:p>
      <w:pPr>
        <w:pStyle w:val="ListNumber"/>
      </w:pPr>
      <w:r>
        <w:t>Read the confirmed block and native ETH transactions.</w:t>
      </w:r>
    </w:p>
    <w:p>
      <w:pPr>
        <w:pStyle w:val="ListNumber"/>
      </w:pPr>
      <w:r>
        <w:t>Decode ERC-20 Transfer logs and normalize token amounts.</w:t>
      </w:r>
    </w:p>
    <w:p>
      <w:pPr>
        <w:pStyle w:val="ListNumber"/>
      </w:pPr>
      <w:r>
        <w:t>Persist blocks, events, wallet aggregates, and the chain cursor.</w:t>
      </w:r>
    </w:p>
    <w:p>
      <w:pPr>
        <w:pStyle w:val="ListNumber"/>
      </w:pPr>
      <w:r>
        <w:t>Calculate wallet fraud probabilities and DWTS recommendations.</w:t>
      </w:r>
    </w:p>
    <w:p>
      <w:pPr>
        <w:pStyle w:val="ListNumber"/>
      </w:pPr>
      <w:r>
        <w:t>Serve cached results to the dashboard without extra provider calls.</w:t>
      </w:r>
    </w:p>
    <w:p>
      <w:pPr>
        <w:pStyle w:val="Heading1"/>
      </w:pPr>
      <w:r>
        <w:t>System architecture</w:t>
      </w:r>
    </w:p>
    <w:p>
      <w:pPr>
        <w:spacing w:before="80" w:after="200"/>
        <w:jc w:val="center"/>
      </w:pPr>
      <w:r>
        <w:rPr>
          <w:rFonts w:ascii="Consolas" w:hAnsi="Consolas"/>
          <w:b/>
          <w:color w:val="17365D"/>
          <w:sz w:val="21"/>
        </w:rPr>
        <w:t>DATASET / ETHEREUM PROVIDER  -&gt;  FEATURE ENGINEERING  -&gt;  XGBOOST  -&gt;  DWTS POLICY  -&gt;  DATABASE  -&gt;  FASTAPI  -&gt;  REACT DASHBOARD</w:t>
      </w:r>
    </w:p>
    <w:p>
      <w:r>
        <w:t>The historical dataset feeds both model training and simulated replay. Live Ethereum activity feeds the confirmed-block ingestion worker. Both paths converge on the same feature, prediction, scoring, persistence, API, and dashboard layers.</w:t>
      </w:r>
    </w:p>
    <w:p>
      <w:pPr>
        <w:pStyle w:val="Heading1"/>
      </w:pPr>
      <w:r>
        <w:t>Technical workflow</w:t>
      </w:r>
    </w:p>
    <w:p>
      <w:pPr>
        <w:pStyle w:val="Heading2"/>
      </w:pPr>
      <w:r>
        <w:t>1. Model training and selection</w:t>
      </w:r>
    </w:p>
    <w:p>
      <w:r>
        <w:t>The standalone training script prepares 45 wallet-level numerical features and evaluates Logistic Regression, Random Forest, and XGBoost. Training, tuning, calibration, cross-validation, and testing use reproducible wallet-group-aware stratification, so one address cannot appear across partitions. XGBoost is selected from the measured results and saved so the API does not retrain at startup.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80"/>
        <w:gridCol w:w="1296"/>
        <w:gridCol w:w="1296"/>
        <w:gridCol w:w="1296"/>
        <w:gridCol w:w="1152"/>
        <w:gridCol w:w="1440"/>
      </w:tblGrid>
      <w:tr>
        <w:trPr>
          <w:tblHeader w:val="true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Model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Accuracy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Precision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Recall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F1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ROC-AUC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Logistic Regression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0.6159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0.3513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0.8670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0.5000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0.8612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Random Forest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0.9792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0.9829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0.9220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0.9515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0.9984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Calibrated XGBoost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0.9842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0.9698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0.9587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0.9642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0.9988</w:t>
            </w:r>
          </w:p>
        </w:tc>
      </w:tr>
    </w:tbl>
    <w:p>
      <w:pPr>
        <w:spacing w:after="0"/>
      </w:pPr>
    </w:p>
    <w:p>
      <w:r>
        <w:t>These values come from the included dataset's wallet-group-separated held-out test partition; they are not fabricated README values. Retraining regenerates the saved metrics report.</w:t>
      </w:r>
    </w:p>
    <w:p>
      <w:pPr>
        <w:pStyle w:val="Heading2"/>
      </w:pPr>
      <w:r>
        <w:t>2. Feature engineering</w:t>
      </w:r>
    </w:p>
    <w:p>
      <w:r>
        <w:t>The historical dataset contains lifetime-style wallet statistics. Simulated mode can use those fields directly. Live mode incrementally reconstructs comparable behaviour from incoming and outgoing ETH transactions, transferred values, counterparties, ERC-20 transfers, token contracts, and previously stored wallet events.</w:t>
      </w:r>
    </w:p>
    <w:p>
      <w:pPr>
        <w:spacing w:before="140" w:after="180"/>
        <w:ind w:left="259" w:right="259"/>
        <w:shd w:fill="E8EEF5"/>
      </w:pPr>
      <w:r>
        <w:rPr>
          <w:rFonts w:ascii="Calibri" w:hAnsi="Calibri"/>
          <w:b/>
          <w:color w:val="17365D"/>
          <w:sz w:val="22"/>
        </w:rPr>
        <w:t xml:space="preserve">Important modelling constraint: </w:t>
      </w:r>
      <w:r>
        <w:rPr>
          <w:rFonts w:ascii="Calibri" w:hAnsi="Calibri"/>
          <w:color w:val="1F2937"/>
          <w:sz w:val="22"/>
        </w:rPr>
        <w:t>A newly observed live wallet has a short activity window, while the model was trained on historical lifetime aggregates. The project exposes and monitors this mismatch instead of claiming both data distributions are identical.</w:t>
      </w:r>
    </w:p>
    <w:p>
      <w:pPr>
        <w:pStyle w:val="Heading2"/>
      </w:pPr>
      <w:r>
        <w:t>3. Fraud probability</w:t>
      </w:r>
    </w:p>
    <w:p>
      <w:r>
        <w:t>The calibrated XGBoost pipeline returns a value between 0 and 1. For example, 0.03 means approximately 3% predicted fraud probability and 0.95 means approximately 95%. The result describes similarity to the labelled training examples; it is not legal or forensic proof of fraud.</w:t>
      </w:r>
    </w:p>
    <w:p>
      <w:pPr>
        <w:pStyle w:val="Heading2"/>
      </w:pPr>
      <w:r>
        <w:t>4. Cold-start protection</w:t>
      </w:r>
    </w:p>
    <w:p>
      <w:r>
        <w:t>A live wallet remains in Observe until it accumulates the configured minimum number of events. The dashboard shows the wallet and observation count but avoids a premature enforcement recommendation based on sparse history.</w:t>
      </w:r>
    </w:p>
    <w:p>
      <w:pPr>
        <w:pStyle w:val="Heading2"/>
      </w:pPr>
      <w:r>
        <w:t>5. Dynamic Wallet Trust Score</w:t>
      </w:r>
    </w:p>
    <w:p>
      <w:r>
        <w:t>DWTS is a persistent stateful score, not a renamed model probability. A wallet starts at 70 and repeated observations move the score gradually:</w:t>
      </w:r>
    </w:p>
    <w:p>
      <w:pPr>
        <w:jc w:val="center"/>
      </w:pPr>
      <w:r>
        <w:rPr>
          <w:rFonts w:ascii="Consolas" w:hAnsi="Consolas"/>
          <w:b/>
          <w:color w:val="17365D"/>
          <w:sz w:val="21"/>
        </w:rPr>
        <w:t>new score = 0.75 x old score + 0.25 x (100 x (1 - fraud probability))</w:t>
      </w:r>
    </w:p>
    <w:p>
      <w:r>
        <w:t>One suspicious event therefore does not instantly destroy trust, while repeated risky behaviour lowers the score and repeated safer behaviour restores it over time.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28"/>
        <w:gridCol w:w="2160"/>
        <w:gridCol w:w="5472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Trust score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Recommendation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Meaning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75-100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Approve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Low apparent risk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55-74.99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Delay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Some risk is present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30-54.99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Verify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Investigation recommended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Below 30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Block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Very high risk recommendation</w:t>
            </w:r>
          </w:p>
        </w:tc>
      </w:tr>
    </w:tbl>
    <w:p>
      <w:pPr>
        <w:spacing w:after="0"/>
      </w:pPr>
    </w:p>
    <w:p>
      <w:r>
        <w:t>Cold-start wallets remain in Observe regardless of these numerical thresholds.</w:t>
      </w:r>
    </w:p>
    <w:p>
      <w:pPr>
        <w:pStyle w:val="Heading1"/>
      </w:pPr>
      <w:r>
        <w:t>Persistence and blockchain reliability</w:t>
      </w:r>
    </w:p>
    <w:p>
      <w:pPr>
        <w:pStyle w:val="Heading2"/>
      </w:pPr>
      <w:r>
        <w:t>Database layer</w:t>
      </w:r>
    </w:p>
    <w:p>
      <w:r>
        <w:t>SQLAlchemy provides one storage layer for SQLite and PostgreSQL. SQLite is the zero-setup demonstration default; PostgreSQL supports shared state across multiple application instances.</w:t>
      </w:r>
    </w:p>
    <w:p>
      <w:pPr>
        <w:pStyle w:val="ListBullet"/>
      </w:pPr>
      <w:r>
        <w:t>Wallet scores and score history</w:t>
      </w:r>
    </w:p>
    <w:p>
      <w:pPr>
        <w:pStyle w:val="ListBullet"/>
      </w:pPr>
      <w:r>
        <w:t>Wallet feature aggregates</w:t>
      </w:r>
    </w:p>
    <w:p>
      <w:pPr>
        <w:pStyle w:val="ListBullet"/>
      </w:pPr>
      <w:r>
        <w:t>Processed blocks and normalized blockchain events</w:t>
      </w:r>
    </w:p>
    <w:p>
      <w:pPr>
        <w:pStyle w:val="ListBullet"/>
      </w:pPr>
      <w:r>
        <w:t>Chain cursor and latest cached live result</w:t>
      </w:r>
    </w:p>
    <w:p>
      <w:pPr>
        <w:pStyle w:val="ListBullet"/>
      </w:pPr>
      <w:r>
        <w:t>Reviewed labels and feature snapshots</w:t>
      </w:r>
    </w:p>
    <w:p>
      <w:pPr>
        <w:pStyle w:val="ListBullet"/>
      </w:pPr>
      <w:r>
        <w:t>Audit records, operational metrics, and rate-limit state</w:t>
      </w:r>
    </w:p>
    <w:p>
      <w:pPr>
        <w:pStyle w:val="ListBullet"/>
      </w:pPr>
      <w:r>
        <w:t>Worker-leader leases</w:t>
      </w:r>
    </w:p>
    <w:p>
      <w:pPr>
        <w:pStyle w:val="Heading2"/>
      </w:pPr>
      <w:r>
        <w:t>Confirmed-block ingestion</w:t>
      </w:r>
    </w:p>
    <w:p>
      <w:pPr>
        <w:pStyle w:val="ListBullet"/>
      </w:pPr>
      <w:r>
        <w:t>Configurable confirmation depth and startup backfill</w:t>
      </w:r>
    </w:p>
    <w:p>
      <w:pPr>
        <w:pStyle w:val="ListBullet"/>
      </w:pPr>
      <w:r>
        <w:t>Persistent cursor and automatic restart recovery</w:t>
      </w:r>
    </w:p>
    <w:p>
      <w:pPr>
        <w:pStyle w:val="ListBullet"/>
      </w:pPr>
      <w:r>
        <w:t>Native ETH and ERC-20 Transfer ingestion</w:t>
      </w:r>
    </w:p>
    <w:p>
      <w:pPr>
        <w:pStyle w:val="ListBullet"/>
      </w:pPr>
      <w:r>
        <w:t>Token decimals lookup with an explicit fallback</w:t>
      </w:r>
    </w:p>
    <w:p>
      <w:pPr>
        <w:pStyle w:val="ListBullet"/>
      </w:pPr>
      <w:r>
        <w:t>Idempotency keys that prevent duplicate score updates</w:t>
      </w:r>
    </w:p>
    <w:p>
      <w:pPr>
        <w:pStyle w:val="ListBullet"/>
      </w:pPr>
      <w:r>
        <w:t>Short chain-reorganisation detection and orphan rollback</w:t>
      </w:r>
    </w:p>
    <w:p>
      <w:pPr>
        <w:pStyle w:val="ListBullet"/>
      </w:pPr>
      <w:r>
        <w:t>Provider failover and maximum catch-up limits</w:t>
      </w:r>
    </w:p>
    <w:p>
      <w:pPr>
        <w:pStyle w:val="ListBullet"/>
      </w:pPr>
      <w:r>
        <w:t>Database lease ensuring only one ingestion leader</w:t>
      </w:r>
    </w:p>
    <w:p>
      <w:pPr>
        <w:pStyle w:val="ListBullet"/>
      </w:pPr>
      <w:r>
        <w:t>Configurable event retention</w:t>
      </w:r>
    </w:p>
    <w:p>
      <w:pPr>
        <w:pStyle w:val="Heading2"/>
      </w:pPr>
      <w:r>
        <w:t>What the provider key does</w:t>
      </w:r>
    </w:p>
    <w:p>
      <w:r>
        <w:t>The Web3 provider URLs grant access to an Ethereum node. HTTPS supplies confirmed blocks, transactions, ERC-20 logs, and token metadata; WSS supplies provider-visible pending activity. Provider access does not train or improve the fraud model. Multiple HTTPS URLs can be supplied in priority order for failover.</w:t>
      </w:r>
    </w:p>
    <w:p>
      <w:pPr>
        <w:pStyle w:val="Heading1"/>
      </w:pPr>
      <w:r>
        <w:t>Application and operational workflow</w:t>
      </w:r>
    </w:p>
    <w:p>
      <w:pPr>
        <w:pStyle w:val="Heading2"/>
      </w:pPr>
      <w:r>
        <w:t>FastAPI backend</w:t>
      </w:r>
    </w:p>
    <w:p>
      <w:r>
        <w:t>FastAPI coordinates model inference, persistence, replay, blockchain ingestion, health reporting, human review, and dashboard data.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528"/>
        <w:gridCol w:w="5832"/>
      </w:tblGrid>
      <w:tr>
        <w:trPr>
          <w:tblHeader w:val="true"/>
        </w:trP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Endpoint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Purpose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GET /health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Process, model, and database health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GET /ready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Deployment readiness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GET /docs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Interactive Swagger API documentation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GET /api/stream/next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Next simulated record and prediction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POST /api/stream/reset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Reset simulated replay position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GET /api/blockchain/live-stream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Latest persisted live results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GET /api/blockchain/status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Provider, cursor, and leadership status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GET /api/operations/metrics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Counts, block lag, provider state, and drift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GET /api/operations/audit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Recent API audit activity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POST/GET /api/labels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Submit or export human-reviewed outcomes</w:t>
            </w:r>
          </w:p>
        </w:tc>
      </w:tr>
      <w:tr>
        <w:tc>
          <w:tcPr>
            <w:tcW w:type="dxa" w:w="3528"/>
          </w:tcPr>
          <w:p>
            <w:r>
              <w:t>GET /api/blockchain/pending-stream</w:t>
            </w:r>
          </w:p>
        </w:tc>
        <w:tc>
          <w:tcPr>
            <w:tcW w:type="dxa" w:w="5832"/>
          </w:tcPr>
          <w:p>
            <w:r>
              <w:t>Pending lifecycle and advisory decisions</w:t>
            </w:r>
          </w:p>
        </w:tc>
      </w:tr>
      <w:tr>
        <w:tc>
          <w:tcPr>
            <w:tcW w:type="dxa" w:w="3528"/>
          </w:tcPr>
          <w:p>
            <w:r>
              <w:t>POST /api/screen-transaction</w:t>
            </w:r>
          </w:p>
        </w:tc>
        <w:tc>
          <w:tcPr>
            <w:tcW w:type="dxa" w:w="5832"/>
          </w:tcPr>
          <w:p>
            <w:r>
              <w:t>Pre-broadcast advisory screening without changing DWTS</w:t>
            </w:r>
          </w:p>
        </w:tc>
      </w:tr>
    </w:tbl>
    <w:p>
      <w:pPr>
        <w:spacing w:after="0"/>
      </w:pPr>
    </w:p>
    <w:p>
      <w:r>
        <w:t>The backend also provides Pydantic validation, meaningful HTTP errors, CORS controls, shared database-backed rate limiting, API-key protection for sensitive routes, audit logging, optional HTTPS configuration, and optional webhook alerts.</w:t>
      </w:r>
    </w:p>
    <w:p>
      <w:pPr>
        <w:pStyle w:val="Heading2"/>
      </w:pPr>
      <w:r>
        <w:t>React dashboard</w:t>
      </w:r>
    </w:p>
    <w:p>
      <w:pPr>
        <w:pStyle w:val="ListBullet"/>
      </w:pPr>
      <w:r>
        <w:t>Switches between simulated, pending, and confirmed Ethereum modes</w:t>
      </w:r>
    </w:p>
    <w:p>
      <w:pPr>
        <w:pStyle w:val="ListBullet"/>
      </w:pPr>
      <w:r>
        <w:t>Displays the live activity feed and fraud probability</w:t>
      </w:r>
    </w:p>
    <w:p>
      <w:pPr>
        <w:pStyle w:val="ListBullet"/>
      </w:pPr>
      <w:r>
        <w:t>Shows the wallet trust score and score history chart</w:t>
      </w:r>
    </w:p>
    <w:p>
      <w:pPr>
        <w:pStyle w:val="ListBullet"/>
      </w:pPr>
      <w:r>
        <w:t>Colour-codes Observe, Approve, Delay, Verify, and Block</w:t>
      </w:r>
    </w:p>
    <w:p>
      <w:pPr>
        <w:pStyle w:val="ListBullet"/>
      </w:pPr>
      <w:r>
        <w:t>Explains cold-start status and observed-event count</w:t>
      </w:r>
    </w:p>
    <w:p>
      <w:pPr>
        <w:pStyle w:val="ListBullet"/>
      </w:pPr>
      <w:r>
        <w:t>Displays blockchain/provider status and feature-drift warnings</w:t>
      </w:r>
    </w:p>
    <w:p>
      <w:r>
        <w:t>The dashboard reads cached live results from FastAPI. Refreshing the page does not trigger duplicate blockchain provider work.</w:t>
      </w:r>
    </w:p>
    <w:p>
      <w:pPr>
        <w:pStyle w:val="Heading1"/>
      </w:pPr>
      <w:r>
        <w:t>Feature drift and human review</w:t>
      </w:r>
    </w:p>
    <w:p>
      <w:pPr>
        <w:pStyle w:val="Heading2"/>
      </w:pPr>
      <w:r>
        <w:t>Feature-drift monitoring</w:t>
      </w:r>
    </w:p>
    <w:p>
      <w:r>
        <w:t>The model artifact stores reference statistics from training. Live feature values are compared with that reference distribution. Material differences produce a drift value, a dashboard warning, an operational metric, and optionally a deduplicated webhook alert. Drift monitoring does not automatically retrain the model.</w:t>
      </w:r>
    </w:p>
    <w:p>
      <w:pPr>
        <w:pStyle w:val="Heading2"/>
      </w:pPr>
      <w:r>
        <w:t>Reviewed outcomes and retraining</w:t>
      </w:r>
    </w:p>
    <w:p>
      <w:r>
        <w:t>An authorized reviewer can attach a verified fraud or non-fraud outcome to a live observation. The database records the reviewer, notes, wallet or transaction identity, binary outcome, and the feature snapshot used at review time. Exported reviewed records can be included in a later training run.</w:t>
      </w:r>
    </w:p>
    <w:p>
      <w:pPr>
        <w:spacing w:before="140" w:after="180"/>
        <w:ind w:left="259" w:right="259"/>
        <w:shd w:fill="F2F4F7"/>
      </w:pPr>
      <w:r>
        <w:rPr>
          <w:rFonts w:ascii="Calibri" w:hAnsi="Calibri"/>
          <w:b/>
          <w:color w:val="17365D"/>
          <w:sz w:val="22"/>
        </w:rPr>
        <w:t xml:space="preserve">Ground-truth rule: </w:t>
      </w:r>
      <w:r>
        <w:rPr>
          <w:rFonts w:ascii="Calibri" w:hAnsi="Calibri"/>
          <w:color w:val="1F2937"/>
          <w:sz w:val="22"/>
        </w:rPr>
        <w:t>The application never invents reviewed labels. A human reviewer or trusted external investigation must supply the confirmed outcome.</w:t>
      </w:r>
    </w:p>
    <w:p>
      <w:pPr>
        <w:pStyle w:val="Heading1"/>
      </w:pPr>
      <w:r>
        <w:t>Production-oriented controls</w:t>
      </w:r>
    </w:p>
    <w:p>
      <w:r>
        <w:t>The repository currently contains application support for:</w:t>
      </w:r>
    </w:p>
    <w:p>
      <w:pPr>
        <w:pStyle w:val="ListBullet"/>
      </w:pPr>
      <w:r>
        <w:t>PostgreSQL and multiple API instances</w:t>
      </w:r>
    </w:p>
    <w:p>
      <w:pPr>
        <w:pStyle w:val="ListBullet"/>
      </w:pPr>
      <w:r>
        <w:t>Single blockchain-ingestion leader election</w:t>
      </w:r>
    </w:p>
    <w:p>
      <w:pPr>
        <w:pStyle w:val="ListBullet"/>
      </w:pPr>
      <w:r>
        <w:t>API-key authentication for protected operations</w:t>
      </w:r>
    </w:p>
    <w:p>
      <w:pPr>
        <w:pStyle w:val="ListBullet"/>
      </w:pPr>
      <w:r>
        <w:t>Shared rate limits and audit logging</w:t>
      </w:r>
    </w:p>
    <w:p>
      <w:pPr>
        <w:pStyle w:val="ListBullet"/>
      </w:pPr>
      <w:r>
        <w:t>Provider failover, readiness probes, and operational metrics</w:t>
      </w:r>
    </w:p>
    <w:p>
      <w:pPr>
        <w:pStyle w:val="ListBullet"/>
      </w:pPr>
      <w:r>
        <w:t>Optional TLS certificates and webhook alerts</w:t>
      </w:r>
    </w:p>
    <w:p>
      <w:pPr>
        <w:pStyle w:val="ListBullet"/>
      </w:pPr>
      <w:r>
        <w:t>SQLite and PostgreSQL backup workflows</w:t>
      </w:r>
    </w:p>
    <w:p>
      <w:pPr>
        <w:pStyle w:val="ListBullet"/>
      </w:pPr>
      <w:r>
        <w:t>Event retention and reviewed-label export</w:t>
      </w:r>
    </w:p>
    <w:p>
      <w:pPr>
        <w:pStyle w:val="ListBullet"/>
      </w:pPr>
      <w:r>
        <w:t>Docker Compose PostgreSQL setup</w:t>
      </w:r>
    </w:p>
    <w:p>
      <w:pPr>
        <w:spacing w:before="140" w:after="180"/>
        <w:ind w:left="259" w:right="259"/>
        <w:shd w:fill="E8EEF5"/>
      </w:pPr>
      <w:r>
        <w:rPr>
          <w:rFonts w:ascii="Calibri" w:hAnsi="Calibri"/>
          <w:b/>
          <w:color w:val="17365D"/>
          <w:sz w:val="22"/>
        </w:rPr>
        <w:t xml:space="preserve">Accurate status: </w:t>
      </w:r>
      <w:r>
        <w:rPr>
          <w:rFonts w:ascii="Calibri" w:hAnsi="Calibri"/>
          <w:color w:val="1F2937"/>
          <w:sz w:val="22"/>
        </w:rPr>
        <w:t>This is a production-oriented prototype, not a fully hosted production service. Provider accounts, Docker/PostgreSQL runtime, TLS certificates, backup scheduling, alert destinations, and human-review operations remain external responsibilities.</w:t>
      </w:r>
    </w:p>
    <w:p>
      <w:pPr>
        <w:pStyle w:val="Heading1"/>
      </w:pPr>
      <w:r>
        <w:t>How the project runs</w:t>
      </w:r>
    </w:p>
    <w:p>
      <w:pPr>
        <w:pStyle w:val="Heading2"/>
      </w:pPr>
      <w:r>
        <w:t>Single-command development start</w:t>
      </w:r>
    </w:p>
    <w:p>
      <w:r>
        <w:t>From the project root, the launcher starts the backend and frontend together:</w:t>
      </w:r>
    </w:p>
    <w:p>
      <w:pPr>
        <w:ind w:left="432"/>
      </w:pPr>
      <w:r>
        <w:rPr>
          <w:rFonts w:ascii="Consolas" w:hAnsi="Consolas"/>
          <w:b/>
          <w:color w:val="17365D"/>
          <w:sz w:val="21"/>
        </w:rPr>
        <w:t>.\.venv\Scripts\python.exe dev.py</w:t>
      </w:r>
    </w:p>
    <w:p>
      <w:r>
        <w:t>FastAPI is available at http://localhost:8000, Swagger documentation at http://localhost:8000/docs, and the React dashboard at http://localhost:5173. Ctrl+C stops both processes.</w:t>
      </w:r>
    </w:p>
    <w:p>
      <w:pPr>
        <w:pStyle w:val="Heading2"/>
      </w:pPr>
      <w:r>
        <w:t>PostgreSQL start</w:t>
      </w:r>
    </w:p>
    <w:p>
      <w:pPr>
        <w:ind w:left="432"/>
      </w:pPr>
      <w:r>
        <w:rPr>
          <w:rFonts w:ascii="Consolas" w:hAnsi="Consolas"/>
          <w:b/>
          <w:color w:val="17365D"/>
          <w:sz w:val="21"/>
        </w:rPr>
        <w:t>docker compose up -d postgres</w:t>
      </w:r>
    </w:p>
    <w:p>
      <w:pPr>
        <w:ind w:left="432"/>
      </w:pPr>
      <w:r>
        <w:rPr>
          <w:rFonts w:ascii="Consolas" w:hAnsi="Consolas"/>
          <w:b/>
          <w:color w:val="17365D"/>
          <w:sz w:val="21"/>
        </w:rPr>
        <w:t>.\.venv\Scripts\python.exe dev.py</w:t>
      </w:r>
    </w:p>
    <w:p>
      <w:pPr>
        <w:pStyle w:val="Heading1"/>
      </w:pPr>
      <w:r>
        <w:t>Verification status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192"/>
        <w:gridCol w:w="3168"/>
      </w:tblGrid>
      <w:tr>
        <w:trPr>
          <w:tblHeader w:val="true"/>
        </w:trPr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Check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Result</w:t>
            </w:r>
          </w:p>
        </w:tc>
      </w:tr>
      <w:tr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Backend test suite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7 tests passed</w:t>
            </w:r>
          </w:p>
        </w:tc>
      </w:tr>
      <w:tr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Backend application import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Python dependency consistency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Frontend production build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Ethereum mainnet connection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Native transaction ingestion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ERC-20 transfer ingestion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Provider failover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Two-instance single-leader behaviour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API-key rejection without credentials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SQLite backup creation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Live dashboard browser rendering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Browser console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No application errors</w:t>
            </w:r>
          </w:p>
        </w:tc>
      </w:tr>
      <w:tr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PostgreSQL schema/configuration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Validated; runtime needs Docker Desktop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Known limitations</w:t>
      </w:r>
    </w:p>
    <w:p>
      <w:pPr>
        <w:pStyle w:val="ListBullet"/>
      </w:pPr>
      <w:r>
        <w:t>Pending coverage is limited to transactions exposed by the configured provider and is advisory until confirmation.</w:t>
      </w:r>
    </w:p>
    <w:p>
      <w:pPr>
        <w:pStyle w:val="ListBullet"/>
      </w:pPr>
      <w:r>
        <w:t>It cannot stop, reverse, or guarantee the safety of a blockchain transfer.</w:t>
      </w:r>
    </w:p>
    <w:p>
      <w:pPr>
        <w:pStyle w:val="ListBullet"/>
      </w:pPr>
      <w:r>
        <w:t>A model probability is not proof that a wallet is fraudulent.</w:t>
      </w:r>
    </w:p>
    <w:p>
      <w:pPr>
        <w:pStyle w:val="ListBullet"/>
      </w:pPr>
      <w:r>
        <w:t>Protocol-specific intent requires additional smart-contract ABIs and domain logic.</w:t>
      </w:r>
    </w:p>
    <w:p>
      <w:pPr>
        <w:pStyle w:val="ListBullet"/>
      </w:pPr>
      <w:r>
        <w:t>Reliable live-domain retraining requires genuine human-reviewed outcomes.</w:t>
      </w:r>
    </w:p>
    <w:p>
      <w:pPr>
        <w:pStyle w:val="ListBullet"/>
      </w:pPr>
      <w:r>
        <w:t>The project does not issue TLS certificates or host external infrastructure.</w:t>
      </w:r>
    </w:p>
    <w:p>
      <w:pPr>
        <w:pStyle w:val="ListBullet"/>
      </w:pPr>
      <w:r>
        <w:t>Historical lifetime wallet aggregates do not perfectly match short live observation windows.</w:t>
      </w:r>
    </w:p>
    <w:p>
      <w:pPr>
        <w:pStyle w:val="ListBullet"/>
      </w:pPr>
      <w:r>
        <w:t>Wallet-group-aware validation is implemented. Time-based validation remains unavailable because the supplied snapshots do not contain trustworthy event timestamps.</w:t>
      </w:r>
    </w:p>
    <w:p>
      <w:pPr>
        <w:pStyle w:val="ListBullet"/>
      </w:pPr>
      <w:r>
        <w:t>DWTS starting score, update weight, and risk thresholds require operational calibration before real enforcement use.</w:t>
      </w:r>
    </w:p>
    <w:p>
      <w:pPr>
        <w:pStyle w:val="Heading1"/>
      </w:pPr>
      <w:r>
        <w:t>Plain-language explanation</w:t>
      </w:r>
    </w:p>
    <w:p>
      <w:r>
        <w:t>The system learns fraud-related patterns from historical Ethereum wallet data. It then watches either a simulated stream or confirmed mainnet activity, compares each wallet's accumulated behaviour with those patterns, calculates a fraud probability, and combines repeated predictions into a changing trust score. The dashboard converts that score into a recommendation that a human reviewer can understand and investigate.</w:t>
      </w:r>
    </w:p>
    <w:p>
      <w:pPr>
        <w:pStyle w:val="Heading1"/>
      </w:pPr>
      <w:r>
        <w:t>Final project position</w:t>
      </w:r>
    </w:p>
    <w:p>
      <w:r>
        <w:t>The project demonstrates data preparation, grouped three-model evaluation, calibrated XGBoost inference, persistent DWTS, simulated replay, provider-visible pending screening, confirmed-live ingestion, database-backed operations, and a usable dashboard. Claims remain limited to risk monitoring and decision support; only an integrated submitting application can enforce a pre-broadcast decision.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7085"/>
        <w:sz w:val="17"/>
      </w:rPr>
      <w:t>DWTS PROJECT | CURRENT STATE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DWTS Project Current State and Technical Workflow</dc:title>
  <dc:subject>AI-powered fraud detection for Ethereum transactions</dc:subject>
  <dc:creator>DWTS Project Team</dc:creator>
  <cp:keywords>Ethereum, fraud detection, XGBoost, DWTS, FastAPI, React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