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70A4B0" w14:textId="77777777" w:rsidR="004A6E2D" w:rsidRDefault="004A6E2D" w:rsidP="00791C5B">
      <w:pPr>
        <w:pStyle w:val="Title"/>
        <w:jc w:val="center"/>
        <w:rPr>
          <w:sz w:val="40"/>
          <w:szCs w:val="40"/>
        </w:rPr>
      </w:pPr>
      <w:r w:rsidRPr="00791C5B">
        <w:rPr>
          <w:sz w:val="40"/>
          <w:szCs w:val="40"/>
        </w:rPr>
        <w:t>Supplementary information</w:t>
      </w:r>
    </w:p>
    <w:p w14:paraId="78CE070A" w14:textId="77777777" w:rsidR="00791C5B" w:rsidRPr="00791C5B" w:rsidRDefault="00791C5B" w:rsidP="00791C5B"/>
    <w:p w14:paraId="0715B7A8" w14:textId="49F77AB2" w:rsidR="00D225C9" w:rsidRPr="00791C5B" w:rsidRDefault="00D225C9" w:rsidP="00C27504">
      <w:pPr>
        <w:spacing w:line="360" w:lineRule="auto"/>
        <w:rPr>
          <w:rFonts w:ascii="Times New Roman" w:hAnsi="Times New Roman" w:cs="Times New Roman"/>
          <w:b/>
          <w:bCs/>
          <w:sz w:val="24"/>
          <w:szCs w:val="24"/>
        </w:rPr>
      </w:pPr>
      <w:r w:rsidRPr="00791C5B">
        <w:rPr>
          <w:rStyle w:val="TitleChar"/>
          <w:rFonts w:ascii="Times New Roman" w:hAnsi="Times New Roman" w:cs="Times New Roman"/>
          <w:b/>
          <w:bCs/>
          <w:sz w:val="24"/>
          <w:szCs w:val="24"/>
        </w:rPr>
        <w:t>Molecular diversity informed modeling of litter decomposition</w:t>
      </w:r>
    </w:p>
    <w:p w14:paraId="67336C5D" w14:textId="77777777" w:rsidR="00D225C9" w:rsidRPr="00D65931" w:rsidRDefault="00D225C9" w:rsidP="00D225C9">
      <w:r>
        <w:t>Arjun Chakrawal</w:t>
      </w:r>
      <w:r w:rsidRPr="00D823FA">
        <w:rPr>
          <w:vertAlign w:val="superscript"/>
        </w:rPr>
        <w:t>1</w:t>
      </w:r>
      <w:r>
        <w:t>, Luciana Chavez Rodrigez</w:t>
      </w:r>
      <w:r>
        <w:rPr>
          <w:vertAlign w:val="superscript"/>
        </w:rPr>
        <w:t>2</w:t>
      </w:r>
      <w:r>
        <w:t>,  Stefano Manzoni</w:t>
      </w:r>
      <w:r w:rsidRPr="00D247D5">
        <w:rPr>
          <w:vertAlign w:val="superscript"/>
        </w:rPr>
        <w:t>3</w:t>
      </w:r>
      <w:r>
        <w:t>, Satish Karra</w:t>
      </w:r>
      <w:r w:rsidRPr="002C2713">
        <w:rPr>
          <w:vertAlign w:val="superscript"/>
        </w:rPr>
        <w:t>1</w:t>
      </w:r>
      <w:r>
        <w:t>, Odeta Qafoku</w:t>
      </w:r>
      <w:r w:rsidRPr="002C2713">
        <w:rPr>
          <w:vertAlign w:val="superscript"/>
        </w:rPr>
        <w:t>1</w:t>
      </w:r>
      <w:r>
        <w:t>, and Emily Graham</w:t>
      </w:r>
      <w:r w:rsidRPr="0055790D">
        <w:rPr>
          <w:vertAlign w:val="superscript"/>
        </w:rPr>
        <w:t>1</w:t>
      </w:r>
    </w:p>
    <w:p w14:paraId="50812FDB" w14:textId="77777777" w:rsidR="00D225C9" w:rsidRDefault="00D225C9" w:rsidP="004A6E2D">
      <w:pPr>
        <w:rPr>
          <w:b/>
          <w:bCs/>
        </w:rPr>
      </w:pPr>
    </w:p>
    <w:p w14:paraId="696AC6CE" w14:textId="77777777" w:rsidR="004A6E2D" w:rsidRPr="004A6E2D" w:rsidRDefault="004A6E2D" w:rsidP="00AB53EC">
      <w:pPr>
        <w:jc w:val="center"/>
      </w:pPr>
      <w:r w:rsidRPr="004A6E2D">
        <w:rPr>
          <w:noProof/>
        </w:rPr>
        <w:drawing>
          <wp:inline distT="0" distB="0" distL="0" distR="0" wp14:anchorId="629BEA7F" wp14:editId="75E32A53">
            <wp:extent cx="3324927" cy="19259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cstate="print">
                      <a:extLst>
                        <a:ext uri="{28A0092B-C50C-407E-A947-70E740481C1C}">
                          <a14:useLocalDpi xmlns:a14="http://schemas.microsoft.com/office/drawing/2010/main"/>
                        </a:ext>
                      </a:extLst>
                    </a:blip>
                    <a:srcRect l="-12"/>
                    <a:stretch/>
                  </pic:blipFill>
                  <pic:spPr bwMode="auto">
                    <a:xfrm>
                      <a:off x="0" y="0"/>
                      <a:ext cx="3348864" cy="1939769"/>
                    </a:xfrm>
                    <a:prstGeom prst="rect">
                      <a:avLst/>
                    </a:prstGeom>
                    <a:noFill/>
                    <a:ln>
                      <a:noFill/>
                    </a:ln>
                    <a:extLst>
                      <a:ext uri="{53640926-AAD7-44D8-BBD7-CCE9431645EC}">
                        <a14:shadowObscured xmlns:a14="http://schemas.microsoft.com/office/drawing/2010/main"/>
                      </a:ext>
                    </a:extLst>
                  </pic:spPr>
                </pic:pic>
              </a:graphicData>
            </a:graphic>
          </wp:inline>
        </w:drawing>
      </w:r>
    </w:p>
    <w:p w14:paraId="4059C8FE" w14:textId="1D723F7E" w:rsidR="004A6E2D" w:rsidRDefault="004A6E2D" w:rsidP="004A6E2D">
      <w:r w:rsidRPr="004A6E2D">
        <w:t xml:space="preserve">Figure </w:t>
      </w:r>
      <w:r w:rsidR="00EF50BD">
        <w:t>S</w:t>
      </w:r>
      <w:r w:rsidRPr="004A6E2D">
        <w:fldChar w:fldCharType="begin"/>
      </w:r>
      <w:r w:rsidRPr="004A6E2D">
        <w:instrText>SEQ Figure \* ARABIC</w:instrText>
      </w:r>
      <w:r w:rsidRPr="004A6E2D">
        <w:fldChar w:fldCharType="separate"/>
      </w:r>
      <w:r w:rsidR="00AB53EC">
        <w:rPr>
          <w:noProof/>
        </w:rPr>
        <w:t>1</w:t>
      </w:r>
      <w:r w:rsidRPr="004A6E2D">
        <w:fldChar w:fldCharType="end"/>
      </w:r>
      <w:r w:rsidRPr="004A6E2D">
        <w:t xml:space="preserve">: </w:t>
      </w:r>
      <w:r w:rsidR="00C77A4F" w:rsidRPr="00C77A4F">
        <w:t>Geographic locations of litte</w:t>
      </w:r>
      <w:r w:rsidR="003D63EB">
        <w:t xml:space="preserve">r sampling </w:t>
      </w:r>
      <w:r w:rsidR="00C77A4F" w:rsidRPr="00C77A4F">
        <w:t xml:space="preserve">sites </w:t>
      </w:r>
      <w:r w:rsidR="00C77A4F">
        <w:t xml:space="preserve">collated from literature for </w:t>
      </w:r>
      <w:r w:rsidR="00C77A4F" w:rsidRPr="00C77A4F">
        <w:t>this study.</w:t>
      </w:r>
    </w:p>
    <w:p w14:paraId="00EE7AAB" w14:textId="77777777" w:rsidR="00AB53EC" w:rsidRPr="004A6E2D" w:rsidRDefault="00AB53EC" w:rsidP="004A6E2D"/>
    <w:p w14:paraId="0AA2B41E" w14:textId="77777777" w:rsidR="00F47419" w:rsidRDefault="00F47419" w:rsidP="00F47419">
      <w:pPr>
        <w:pStyle w:val="NormalWeb"/>
        <w:keepNext/>
        <w:jc w:val="center"/>
      </w:pPr>
      <w:r>
        <w:rPr>
          <w:noProof/>
        </w:rPr>
        <w:drawing>
          <wp:inline distT="0" distB="0" distL="0" distR="0" wp14:anchorId="44581C4E" wp14:editId="0342A372">
            <wp:extent cx="4874150" cy="2132440"/>
            <wp:effectExtent l="0" t="0" r="3175" b="127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77701" cy="2133994"/>
                    </a:xfrm>
                    <a:prstGeom prst="rect">
                      <a:avLst/>
                    </a:prstGeom>
                  </pic:spPr>
                </pic:pic>
              </a:graphicData>
            </a:graphic>
          </wp:inline>
        </w:drawing>
      </w:r>
    </w:p>
    <w:p w14:paraId="1EE4A344" w14:textId="1BB8DEA4" w:rsidR="00F47419" w:rsidRPr="000A19B4" w:rsidRDefault="004371C9" w:rsidP="00F47419">
      <w:pPr>
        <w:pStyle w:val="Caption"/>
      </w:pPr>
      <w:r w:rsidRPr="004A6E2D">
        <w:t xml:space="preserve">Figure </w:t>
      </w:r>
      <w:r>
        <w:t>S</w:t>
      </w:r>
      <w:r w:rsidRPr="004A6E2D">
        <w:fldChar w:fldCharType="begin"/>
      </w:r>
      <w:r w:rsidRPr="004A6E2D">
        <w:instrText>SEQ Figure \* ARABIC</w:instrText>
      </w:r>
      <w:r w:rsidRPr="004A6E2D">
        <w:fldChar w:fldCharType="separate"/>
      </w:r>
      <w:r w:rsidR="00AB53EC">
        <w:rPr>
          <w:noProof/>
        </w:rPr>
        <w:t>2</w:t>
      </w:r>
      <w:r w:rsidRPr="004A6E2D">
        <w:fldChar w:fldCharType="end"/>
      </w:r>
      <w:r w:rsidRPr="004A6E2D">
        <w:t xml:space="preserve">: </w:t>
      </w:r>
      <w:r w:rsidR="00F47419">
        <w:t xml:space="preserve">(A) The range of variation of the fraction of organic compounds in litter estimated using molecular mixing model and </w:t>
      </w:r>
      <w:r w:rsidR="00F47419" w:rsidRPr="002C1FBC">
        <w:rPr>
          <w:vertAlign w:val="superscript"/>
        </w:rPr>
        <w:t>13</w:t>
      </w:r>
      <w:r w:rsidR="00F47419">
        <w:t xml:space="preserve">C NMR data. (B) </w:t>
      </w:r>
      <w:r w:rsidR="00F47419" w:rsidRPr="0075185D">
        <w:t xml:space="preserve">Nash–Sutcliffe </w:t>
      </w:r>
      <w:r w:rsidR="00F47419">
        <w:t xml:space="preserve">modeling </w:t>
      </w:r>
      <w:r w:rsidR="00F47419" w:rsidRPr="0075185D">
        <w:t>efficiency coefficient</w:t>
      </w:r>
      <w:r w:rsidR="00F47419">
        <w:t xml:space="preserve"> (NSE) and (C) root mean square error (RMSE in gC/gC litter) from the predicted NMR chemical shift using molecular mixing model and observed NMR chemical shift for the litter samples. The horizontal lines in the violin plots indicate </w:t>
      </w:r>
      <w:r w:rsidR="00F47419" w:rsidRPr="00A91ECD">
        <w:t>quartiles</w:t>
      </w:r>
      <w:r w:rsidR="00F47419">
        <w:t xml:space="preserve">: </w:t>
      </w:r>
      <w:r w:rsidR="00F47419" w:rsidRPr="002E1E5C">
        <w:t>the median (middle line), upper quartile (Q3) and lower quartile (Q1)</w:t>
      </w:r>
      <w:r w:rsidR="00F47419">
        <w:t xml:space="preserve">. </w:t>
      </w:r>
      <w:r w:rsidR="00F47419" w:rsidRPr="00743787">
        <w:t xml:space="preserve">The box </w:t>
      </w:r>
      <w:r w:rsidR="00F47419">
        <w:t xml:space="preserve">in boxplot </w:t>
      </w:r>
      <w:r w:rsidR="00F47419" w:rsidRPr="00743787">
        <w:t>shows the interquartile range (IQR), with the median marked by a horizontal line. Whiskers extend to values within 1.5 times the IQR from the quartiles</w:t>
      </w:r>
      <w:r w:rsidR="00F47419">
        <w:t xml:space="preserve"> and o</w:t>
      </w:r>
      <w:r w:rsidR="00F47419" w:rsidRPr="00743787">
        <w:t>utliers beyond the whiskers are indicated by individual markers.</w:t>
      </w:r>
    </w:p>
    <w:p w14:paraId="30EA3694" w14:textId="77777777" w:rsidR="001551D0" w:rsidRPr="004A6E2D" w:rsidRDefault="001551D0" w:rsidP="001551D0">
      <w:pPr>
        <w:jc w:val="center"/>
      </w:pPr>
      <w:r w:rsidRPr="004A6E2D">
        <w:rPr>
          <w:noProof/>
        </w:rPr>
        <w:lastRenderedPageBreak/>
        <w:drawing>
          <wp:inline distT="0" distB="0" distL="0" distR="0" wp14:anchorId="456ABFD3" wp14:editId="2B4DE8FB">
            <wp:extent cx="3101009" cy="2325757"/>
            <wp:effectExtent l="0" t="0" r="4445"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05359" cy="2329020"/>
                    </a:xfrm>
                    <a:prstGeom prst="rect">
                      <a:avLst/>
                    </a:prstGeom>
                  </pic:spPr>
                </pic:pic>
              </a:graphicData>
            </a:graphic>
          </wp:inline>
        </w:drawing>
      </w:r>
    </w:p>
    <w:p w14:paraId="243CA3F5" w14:textId="03CC1890" w:rsidR="001551D0" w:rsidRDefault="001551D0" w:rsidP="001551D0">
      <w:r w:rsidRPr="004A6E2D">
        <w:t xml:space="preserve">Figure </w:t>
      </w:r>
      <w:r>
        <w:t>S</w:t>
      </w:r>
      <w:r w:rsidRPr="004A6E2D">
        <w:fldChar w:fldCharType="begin"/>
      </w:r>
      <w:r w:rsidRPr="004A6E2D">
        <w:instrText xml:space="preserve"> SEQ Figure \* ARABIC </w:instrText>
      </w:r>
      <w:r w:rsidRPr="004A6E2D">
        <w:fldChar w:fldCharType="separate"/>
      </w:r>
      <w:r w:rsidR="00AB53EC">
        <w:rPr>
          <w:noProof/>
        </w:rPr>
        <w:t>3</w:t>
      </w:r>
      <w:r w:rsidRPr="004A6E2D">
        <w:fldChar w:fldCharType="end"/>
      </w:r>
      <w:r w:rsidRPr="004A6E2D">
        <w:t xml:space="preserve"> </w:t>
      </w:r>
      <w:r w:rsidR="007F2F66" w:rsidRPr="007F2F66">
        <w:t>Relationship between the fraction of lignin carbon estimated from the molecular mixing model and the proportion of aromatic carbon, defined as the sum of signal intensities in the aromatic (110–145 ppm) and phenolic (145–165 ppm) regions of the</w:t>
      </w:r>
      <w:r w:rsidR="007F2F66" w:rsidRPr="007F2F66">
        <w:rPr>
          <w:rFonts w:ascii="Arial" w:hAnsi="Arial" w:cs="Arial"/>
        </w:rPr>
        <w:t> </w:t>
      </w:r>
      <w:r w:rsidR="007F2F66" w:rsidRPr="007F2F66">
        <w:rPr>
          <w:rFonts w:ascii="Aptos" w:hAnsi="Aptos" w:cs="Aptos"/>
        </w:rPr>
        <w:t>¹³</w:t>
      </w:r>
      <w:r w:rsidR="007F2F66" w:rsidRPr="007F2F66">
        <w:t xml:space="preserve">C NMR spectrum, across all litter samples. This linear relationship was used to convert the scaling factor </w:t>
      </w:r>
      <w:r w:rsidR="007F2F66" w:rsidRPr="007F2F66">
        <w:rPr>
          <w:i/>
          <w:iCs/>
        </w:rPr>
        <w:t>a</w:t>
      </w:r>
      <w:r w:rsidR="007F2F66" w:rsidRPr="007F2F66">
        <w:t xml:space="preserve"> in the lignin decay modifier employed by</w:t>
      </w:r>
      <w:r w:rsidR="007F2F66">
        <w:t xml:space="preserve"> </w:t>
      </w:r>
      <w:r w:rsidR="00E16AFF" w:rsidRPr="00E16AFF">
        <w:t xml:space="preserve">Chakrawal et al. </w:t>
      </w:r>
      <w:r w:rsidR="00E16AFF" w:rsidRPr="00E16AFF">
        <w:rPr>
          <w:rFonts w:eastAsiaTheme="minorEastAsia"/>
        </w:rPr>
        <w:fldChar w:fldCharType="begin"/>
      </w:r>
      <w:r w:rsidR="00263CBE">
        <w:rPr>
          <w:rFonts w:eastAsiaTheme="minorEastAsia"/>
        </w:rPr>
        <w:instrText xml:space="preserve"> ADDIN ZOTERO_ITEM CSL_CITATION {"citationID":"VxEk7Xw8","properties":{"formattedCitation":"(2024)","plainCitation":"(2024)","noteIndex":0},"citationItems":[{"id":8762,"uris":["http://zotero.org/users/5408042/items/YYJUMP3T"],"itemData":{"id":8762,"type":"article-journal","abstract":"A large fraction of plant litter comprises recalcitrant aromatic compounds (lignin and other phenolics). Quantifying the fate of aromatic compounds is difficult, because oxidative degradation of aromatic carbon (C) is a costly but necessary endeavor for microorganisms, and we do not know when gains from the decomposition of aromatic C outweigh energetic costs. To evaluate these tradeoffs, we developed a litter decomposition model in which the aromatic C decomposition rate is optimized dynamically to maximize microbial growth for the given costs of maintaining ligninolytic activity. We tested model performance against &gt; 200 litter decomposition datasets collected from published literature and assessed the effects of climate and litter chemistry on litter decomposition. The model predicted a time-varying ligninolytic oxidation rate, which was used to calculate the lag time before the decomposition of aromatic C is initiated. Warmer conditions increased decomposition rates, shortened the lag time of aromatic C oxidation, and improved microbial C-use efficiency by decreasing the costs of oxidation. Moreover, a higher initial content of aromatic C promoted an earlier start of aromatic C decomposition under any climate. With this contribution, we highlight the application of eco-evolutionary approaches based on optimized microbial life strategies as an alternative parametrization scheme for litter decomposition models.","container-title":"New Phytologist","DOI":"10.1111/nph.19572","ISSN":"1469-8137","issue":"n/a","language":"en","license":"© 2024 The Authors. New Phytologist © 2024 New Phytologist Foundation","note":"_eprint: https://onlinelibrary.wiley.com/doi/pdf/10.1111/nph.19572","source":"Wiley Online Library","title":"Modelling optimal ligninolytic activity during plant litter decomposition","URL":"https://onlinelibrary.wiley.com/doi/abs/10.1111/nph.19572","volume":"n/a","author":[{"family":"Chakrawal","given":"Arjun"},{"family":"Lindahl","given":"Björn D."},{"family":"Manzoni","given":"Stefano"}],"accessed":{"date-parts":[["2024",2,13]]},"issued":{"date-parts":[["2024",2,11]]},"citation-key":"chakrawalModellingOptimalLigninolytic2024"},"label":"page","suppress-author":true}],"schema":"https://github.com/citation-style-language/schema/raw/master/csl-citation.json"} </w:instrText>
      </w:r>
      <w:r w:rsidR="00E16AFF" w:rsidRPr="00E16AFF">
        <w:rPr>
          <w:rFonts w:eastAsiaTheme="minorEastAsia"/>
        </w:rPr>
        <w:fldChar w:fldCharType="separate"/>
      </w:r>
      <w:r w:rsidR="00263CBE" w:rsidRPr="00263CBE">
        <w:rPr>
          <w:rFonts w:ascii="Calibri" w:hAnsi="Calibri" w:cs="Calibri"/>
        </w:rPr>
        <w:t>(2024)</w:t>
      </w:r>
      <w:r w:rsidR="00E16AFF" w:rsidRPr="00E16AFF">
        <w:rPr>
          <w:rFonts w:eastAsiaTheme="minorEastAsia"/>
        </w:rPr>
        <w:fldChar w:fldCharType="end"/>
      </w:r>
      <w:r w:rsidR="00E16AFF">
        <w:rPr>
          <w:rFonts w:eastAsiaTheme="minorEastAsia"/>
        </w:rPr>
        <w:t xml:space="preserve"> </w:t>
      </w:r>
      <w:r w:rsidR="0079072D" w:rsidRPr="0079072D">
        <w:rPr>
          <w:rFonts w:eastAsiaTheme="minorEastAsia"/>
        </w:rPr>
        <w:t xml:space="preserve">rom aromatic C to lignin C. Specifically, the value </w:t>
      </w:r>
      <w:r w:rsidR="0079072D" w:rsidRPr="0079072D">
        <w:rPr>
          <w:rFonts w:eastAsiaTheme="minorEastAsia"/>
          <w:i/>
          <w:iCs/>
        </w:rPr>
        <w:t>a</w:t>
      </w:r>
      <w:r w:rsidR="0079072D" w:rsidRPr="0079072D">
        <w:rPr>
          <w:rFonts w:ascii="Arial" w:eastAsiaTheme="minorEastAsia" w:hAnsi="Arial" w:cs="Arial"/>
        </w:rPr>
        <w:t> </w:t>
      </w:r>
      <w:r w:rsidR="0079072D" w:rsidRPr="0079072D">
        <w:rPr>
          <w:rFonts w:eastAsiaTheme="minorEastAsia"/>
        </w:rPr>
        <w:t>=</w:t>
      </w:r>
      <w:r w:rsidR="0079072D" w:rsidRPr="0079072D">
        <w:rPr>
          <w:rFonts w:ascii="Arial" w:eastAsiaTheme="minorEastAsia" w:hAnsi="Arial" w:cs="Arial"/>
        </w:rPr>
        <w:t> </w:t>
      </w:r>
      <w:r w:rsidR="0079072D" w:rsidRPr="0079072D">
        <w:rPr>
          <w:rFonts w:eastAsiaTheme="minorEastAsia"/>
        </w:rPr>
        <w:t xml:space="preserve">0.15 used for aromatic C corresponds to approximately </w:t>
      </w:r>
      <w:r w:rsidR="0079072D" w:rsidRPr="0079072D">
        <w:rPr>
          <w:rFonts w:eastAsiaTheme="minorEastAsia"/>
          <w:i/>
          <w:iCs/>
        </w:rPr>
        <w:t>a</w:t>
      </w:r>
      <w:r w:rsidR="0079072D" w:rsidRPr="0079072D">
        <w:rPr>
          <w:rFonts w:ascii="Arial" w:eastAsiaTheme="minorEastAsia" w:hAnsi="Arial" w:cs="Arial"/>
        </w:rPr>
        <w:t> </w:t>
      </w:r>
      <w:r w:rsidR="0079072D" w:rsidRPr="0079072D">
        <w:rPr>
          <w:rFonts w:eastAsiaTheme="minorEastAsia"/>
        </w:rPr>
        <w:t>=</w:t>
      </w:r>
      <w:r w:rsidR="0079072D" w:rsidRPr="0079072D">
        <w:rPr>
          <w:rFonts w:ascii="Arial" w:eastAsiaTheme="minorEastAsia" w:hAnsi="Arial" w:cs="Arial"/>
        </w:rPr>
        <w:t> </w:t>
      </w:r>
      <w:r w:rsidR="0079072D" w:rsidRPr="0079072D">
        <w:rPr>
          <w:rFonts w:eastAsiaTheme="minorEastAsia"/>
        </w:rPr>
        <w:t>0.28 when expressed in terms of lignin C.</w:t>
      </w:r>
    </w:p>
    <w:p w14:paraId="4A67C94F" w14:textId="77777777" w:rsidR="00F47419" w:rsidRPr="004A6E2D" w:rsidRDefault="00F47419" w:rsidP="004A6E2D"/>
    <w:p w14:paraId="1C98E760" w14:textId="77777777" w:rsidR="00D36114" w:rsidRDefault="00A95EC6" w:rsidP="00D36114">
      <w:pPr>
        <w:keepNext/>
      </w:pPr>
      <w:r>
        <w:rPr>
          <w:noProof/>
        </w:rPr>
        <w:drawing>
          <wp:inline distT="0" distB="0" distL="0" distR="0" wp14:anchorId="73BC113A" wp14:editId="3973698C">
            <wp:extent cx="5943600" cy="1414780"/>
            <wp:effectExtent l="0" t="0" r="0" b="0"/>
            <wp:docPr id="147717490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74906" name="Graphic 1477174906"/>
                    <pic:cNvPicPr/>
                  </pic:nvPicPr>
                  <pic:blipFill>
                    <a:blip r:embed="rId7">
                      <a:extLst>
                        <a:ext uri="{96DAC541-7B7A-43D3-8B79-37D633B846F1}">
                          <asvg:svgBlip xmlns:asvg="http://schemas.microsoft.com/office/drawing/2016/SVG/main" r:embed="rId8"/>
                        </a:ext>
                      </a:extLst>
                    </a:blip>
                    <a:stretch>
                      <a:fillRect/>
                    </a:stretch>
                  </pic:blipFill>
                  <pic:spPr>
                    <a:xfrm>
                      <a:off x="0" y="0"/>
                      <a:ext cx="5943600" cy="1414780"/>
                    </a:xfrm>
                    <a:prstGeom prst="rect">
                      <a:avLst/>
                    </a:prstGeom>
                  </pic:spPr>
                </pic:pic>
              </a:graphicData>
            </a:graphic>
          </wp:inline>
        </w:drawing>
      </w:r>
    </w:p>
    <w:p w14:paraId="30F10A0B" w14:textId="1C41BC06" w:rsidR="00D36114" w:rsidRDefault="00D36114" w:rsidP="00D36114">
      <w:pPr>
        <w:pStyle w:val="Caption"/>
      </w:pPr>
      <w:r>
        <w:t>Figure S</w:t>
      </w:r>
      <w:r>
        <w:fldChar w:fldCharType="begin"/>
      </w:r>
      <w:r>
        <w:instrText xml:space="preserve"> SEQ Figure \* ARABIC </w:instrText>
      </w:r>
      <w:r>
        <w:fldChar w:fldCharType="separate"/>
      </w:r>
      <w:r w:rsidR="00AB53EC">
        <w:rPr>
          <w:noProof/>
        </w:rPr>
        <w:t>4</w:t>
      </w:r>
      <w:r>
        <w:fldChar w:fldCharType="end"/>
      </w:r>
      <w:r>
        <w:t xml:space="preserve"> </w:t>
      </w:r>
      <w:r w:rsidR="00F619ED" w:rsidRPr="00F619ED">
        <w:t xml:space="preserve">Temporal dynamics of total </w:t>
      </w:r>
      <w:r w:rsidR="003E31CC">
        <w:t>C</w:t>
      </w:r>
      <w:r w:rsidR="00F619ED" w:rsidRPr="00F619ED">
        <w:t xml:space="preserve">, total </w:t>
      </w:r>
      <w:r w:rsidR="003E31CC">
        <w:t>N</w:t>
      </w:r>
      <w:r w:rsidR="00F619ED" w:rsidRPr="00F619ED">
        <w:t>, lignin fraction, and degree of reduction during litter decomposition</w:t>
      </w:r>
      <w:r w:rsidR="003E31CC">
        <w:t xml:space="preserve"> across model scenarios</w:t>
      </w:r>
      <w:r w:rsidR="00F619ED" w:rsidRPr="00F619ED">
        <w:t xml:space="preserve">. </w:t>
      </w:r>
      <w:r w:rsidR="00B12275">
        <w:t xml:space="preserve">Model simulation initial conditions and parameter values are the same </w:t>
      </w:r>
      <w:r>
        <w:t xml:space="preserve">as Figure </w:t>
      </w:r>
      <w:r w:rsidR="003A3C0C">
        <w:t>3</w:t>
      </w:r>
      <w:r w:rsidR="009C0BC5">
        <w:t xml:space="preserve"> </w:t>
      </w:r>
      <w:r>
        <w:t>from main text</w:t>
      </w:r>
      <w:r w:rsidR="008D39B5">
        <w:t>.</w:t>
      </w:r>
    </w:p>
    <w:p w14:paraId="0BBE60C1" w14:textId="2A1B1C5E" w:rsidR="00255778" w:rsidRPr="00255778" w:rsidRDefault="00255778" w:rsidP="00255778"/>
    <w:p w14:paraId="7301A5E1" w14:textId="77777777" w:rsidR="004A6E2D" w:rsidRPr="004A6E2D" w:rsidRDefault="004A6E2D" w:rsidP="004A6E2D"/>
    <w:p w14:paraId="69747619" w14:textId="77777777" w:rsidR="005533EA" w:rsidRDefault="005533EA" w:rsidP="005533EA">
      <w:pPr>
        <w:keepNext/>
      </w:pPr>
      <w:r w:rsidRPr="0001410F">
        <w:rPr>
          <w:noProof/>
        </w:rPr>
        <w:lastRenderedPageBreak/>
        <w:drawing>
          <wp:inline distT="0" distB="0" distL="0" distR="0" wp14:anchorId="3D15F6B4" wp14:editId="0EA61FED">
            <wp:extent cx="5943600" cy="4134485"/>
            <wp:effectExtent l="0" t="0" r="0" b="0"/>
            <wp:docPr id="4" name="Picture 3" descr="Chart, scatter chart&#10;&#10;AI-generated content may be incorrect.">
              <a:extLst xmlns:a="http://schemas.openxmlformats.org/drawingml/2006/main">
                <a:ext uri="{FF2B5EF4-FFF2-40B4-BE49-F238E27FC236}">
                  <a16:creationId xmlns:a16="http://schemas.microsoft.com/office/drawing/2014/main" id="{A154ED47-EE38-65CE-CAD3-A4ED074CA3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scatter chart&#10;&#10;AI-generated content may be incorrect.">
                      <a:extLst>
                        <a:ext uri="{FF2B5EF4-FFF2-40B4-BE49-F238E27FC236}">
                          <a16:creationId xmlns:a16="http://schemas.microsoft.com/office/drawing/2014/main" id="{A154ED47-EE38-65CE-CAD3-A4ED074CA35F}"/>
                        </a:ext>
                      </a:extLst>
                    </pic:cNvPr>
                    <pic:cNvPicPr>
                      <a:picLocks noChangeAspect="1"/>
                    </pic:cNvPicPr>
                  </pic:nvPicPr>
                  <pic:blipFill>
                    <a:blip r:embed="rId9"/>
                    <a:stretch>
                      <a:fillRect/>
                    </a:stretch>
                  </pic:blipFill>
                  <pic:spPr>
                    <a:xfrm>
                      <a:off x="0" y="0"/>
                      <a:ext cx="5943600" cy="4134485"/>
                    </a:xfrm>
                    <a:prstGeom prst="rect">
                      <a:avLst/>
                    </a:prstGeom>
                  </pic:spPr>
                </pic:pic>
              </a:graphicData>
            </a:graphic>
          </wp:inline>
        </w:drawing>
      </w:r>
    </w:p>
    <w:p w14:paraId="7345E021" w14:textId="791B0DFC" w:rsidR="00A8313D" w:rsidRDefault="005533EA" w:rsidP="004C40B3">
      <w:pPr>
        <w:pStyle w:val="Caption"/>
      </w:pPr>
      <w:r>
        <w:t>Figure S</w:t>
      </w:r>
      <w:r>
        <w:fldChar w:fldCharType="begin"/>
      </w:r>
      <w:r>
        <w:instrText>SEQ Figure \* ARABIC</w:instrText>
      </w:r>
      <w:r>
        <w:fldChar w:fldCharType="separate"/>
      </w:r>
      <w:r w:rsidR="00AB53EC">
        <w:rPr>
          <w:noProof/>
        </w:rPr>
        <w:t>5</w:t>
      </w:r>
      <w:r>
        <w:fldChar w:fldCharType="end"/>
      </w:r>
      <w:r>
        <w:t xml:space="preserve"> Scatter plot of modeled and observed mass remaining of carbohydrate, protein, lignin, lipid and carbonyl among four model </w:t>
      </w:r>
      <w:r w:rsidRPr="00C27E1E">
        <w:rPr>
          <w:bCs/>
        </w:rPr>
        <w:t>scenario</w:t>
      </w:r>
      <w:r>
        <w:t>s illustrate using different colors</w:t>
      </w:r>
      <w:r w:rsidR="004806E6">
        <w:t xml:space="preserve"> for N retention strategy.</w:t>
      </w:r>
      <w:r>
        <w:t xml:space="preserve"> The grey line represents 1:1 line. </w:t>
      </w:r>
    </w:p>
    <w:p w14:paraId="46B1CA2C" w14:textId="2A5E692E" w:rsidR="0001410F" w:rsidRDefault="00A91F5C" w:rsidP="0001410F">
      <w:pPr>
        <w:pStyle w:val="Caption"/>
        <w:rPr>
          <w:b/>
          <w:bCs/>
        </w:rPr>
      </w:pPr>
      <w:r w:rsidRPr="00A91F5C">
        <w:rPr>
          <w:noProof/>
        </w:rPr>
        <w:lastRenderedPageBreak/>
        <w:drawing>
          <wp:inline distT="0" distB="0" distL="0" distR="0" wp14:anchorId="703722D4" wp14:editId="6CCA1AD8">
            <wp:extent cx="5943600" cy="4098925"/>
            <wp:effectExtent l="0" t="0" r="0" b="0"/>
            <wp:docPr id="7" name="Picture 6" descr="Chart, scatter chart&#10;&#10;AI-generated content may be incorrect.">
              <a:extLst xmlns:a="http://schemas.openxmlformats.org/drawingml/2006/main">
                <a:ext uri="{FF2B5EF4-FFF2-40B4-BE49-F238E27FC236}">
                  <a16:creationId xmlns:a16="http://schemas.microsoft.com/office/drawing/2014/main" id="{9FDD961F-C88C-0235-571F-4EFDB1167F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 scatter chart&#10;&#10;AI-generated content may be incorrect.">
                      <a:extLst>
                        <a:ext uri="{FF2B5EF4-FFF2-40B4-BE49-F238E27FC236}">
                          <a16:creationId xmlns:a16="http://schemas.microsoft.com/office/drawing/2014/main" id="{9FDD961F-C88C-0235-571F-4EFDB1167F2C}"/>
                        </a:ext>
                      </a:extLst>
                    </pic:cNvPr>
                    <pic:cNvPicPr>
                      <a:picLocks noChangeAspect="1"/>
                    </pic:cNvPicPr>
                  </pic:nvPicPr>
                  <pic:blipFill>
                    <a:blip r:embed="rId10"/>
                    <a:stretch>
                      <a:fillRect/>
                    </a:stretch>
                  </pic:blipFill>
                  <pic:spPr>
                    <a:xfrm>
                      <a:off x="0" y="0"/>
                      <a:ext cx="5943600" cy="4098925"/>
                    </a:xfrm>
                    <a:prstGeom prst="rect">
                      <a:avLst/>
                    </a:prstGeom>
                  </pic:spPr>
                </pic:pic>
              </a:graphicData>
            </a:graphic>
          </wp:inline>
        </w:drawing>
      </w:r>
      <w:r w:rsidR="0001410F">
        <w:t>Figure S</w:t>
      </w:r>
      <w:r w:rsidR="0001410F">
        <w:fldChar w:fldCharType="begin"/>
      </w:r>
      <w:r w:rsidR="0001410F">
        <w:instrText>SEQ Figure \* ARABIC</w:instrText>
      </w:r>
      <w:r w:rsidR="0001410F">
        <w:fldChar w:fldCharType="separate"/>
      </w:r>
      <w:r w:rsidR="00AB53EC">
        <w:rPr>
          <w:noProof/>
        </w:rPr>
        <w:t>6</w:t>
      </w:r>
      <w:r w:rsidR="0001410F">
        <w:fldChar w:fldCharType="end"/>
      </w:r>
      <w:r w:rsidR="0001410F">
        <w:t xml:space="preserve"> (A) Scatter plot of modeled and observed mass remaining of carbohydrate, protein, lignin, lipid and carbonyl among four model </w:t>
      </w:r>
      <w:r w:rsidR="0001410F" w:rsidRPr="00C27E1E">
        <w:rPr>
          <w:bCs/>
        </w:rPr>
        <w:t>scenario</w:t>
      </w:r>
      <w:r w:rsidR="0001410F">
        <w:t>s illustrate using different colors</w:t>
      </w:r>
      <w:r w:rsidR="00C30BA9">
        <w:t xml:space="preserve"> for flexible CUE strategy</w:t>
      </w:r>
      <w:r w:rsidR="0001410F">
        <w:t xml:space="preserve">. The grey line represents 1:1 line. </w:t>
      </w:r>
    </w:p>
    <w:p w14:paraId="5E50802D" w14:textId="77777777" w:rsidR="00D41D89" w:rsidRPr="00D41D89" w:rsidRDefault="00D41D89" w:rsidP="00D41D89"/>
    <w:p w14:paraId="2CDCE6E0" w14:textId="4FFBD459" w:rsidR="00E86630" w:rsidRDefault="00E86630" w:rsidP="00E86630">
      <w:pPr>
        <w:pStyle w:val="Caption"/>
        <w:keepNext/>
      </w:pPr>
      <w:r>
        <w:t>Table S</w:t>
      </w:r>
      <w:r>
        <w:fldChar w:fldCharType="begin"/>
      </w:r>
      <w:r>
        <w:instrText xml:space="preserve"> SEQ Table \* ARABIC </w:instrText>
      </w:r>
      <w:r>
        <w:fldChar w:fldCharType="separate"/>
      </w:r>
      <w:r w:rsidR="00AB53EC">
        <w:rPr>
          <w:noProof/>
        </w:rPr>
        <w:t>1</w:t>
      </w:r>
      <w:r>
        <w:rPr>
          <w:noProof/>
        </w:rPr>
        <w:fldChar w:fldCharType="end"/>
      </w:r>
      <w:r>
        <w:rPr>
          <w:noProof/>
        </w:rPr>
        <w:t xml:space="preserve"> </w:t>
      </w:r>
      <w:r>
        <w:t xml:space="preserve">Chemical shift regions and their representative classes of organic compounds for five classes of organic compounds, and their elemental composition and nominal oxidation state of carbon (NOSC) </w:t>
      </w:r>
      <w:r>
        <w:fldChar w:fldCharType="begin"/>
      </w:r>
      <w:r w:rsidR="00263CBE">
        <w:instrText xml:space="preserve"> ADDIN ZOTERO_ITEM CSL_CITATION {"citationID":"riqHTAM8","properties":{"formattedCitation":"(Nelson &amp; Baldock, 2005)","plainCitation":"(Nelson &amp; Baldock, 2005)","noteIndex":0},"citationItems":[{"id":6864,"uris":["http://zotero.org/groups/2896060/items/M2UI52G4"],"itemData":{"id":6864,"type":"article-journal","abstract":"Most techniques for determining the chemical nature of natural organic matter in soil, sediment and water require prior extraction or concentration steps that are not quantitative and that create artifacts. 13C nuclear magnetic resonance (NMR) analysis can avoid these problems, but it gives little information at the scale of molecules. Here we show that the molecular composition of a diverse range of natural organic materials could be inferred from 13C NMR analysis combined with C and N analysis. Forty-six different organic materials including undecomposed and decomposed plant materials, soil organic matter, phytoplankton, and the organic matter found in freshwater, estuarine and marine sediments were examined. A mixing model simultaneously solved a series of equations to estimate the content of four biomolecule components representing the organic materials produced in greatest abundance by plants and other organisms (carbohydrate, protein, lignin and aliphatic material) and two additional components (char and pure carbonyl). Based on defined molecular structures for each component, signal intensities for 13C NMR spectra were predicted and compared with measured values. The sum of the absolute differences in signal intensity between the measured and predicted spectral regions was &lt;7% for the terrestrial materials. For aquatic materials the fit of the predicted to measured signal intensities was not as good. Predicted molecular compositions correlated well with independent analyses of cellulose, protein and lignin contents of plant samples and char contents of soil samples. Across all samples, carbohydrates accounted for 10-76% of the sample C (40-76% in plants and 10-42% in soils, sediments and phytoplankton), protein for 2-80% (21-80% in phytoplankton and marine water column samples and 2-36% in plants, soils and sediments), lignin for 0-36%, aliphatic materials for 2-44%, char for 0-38% and carbonyl for 0-22%. For the soils, sediments and decomposed plant materials, the close correspondence between actual signal intensities and those predicted using known biomolecular components, suggested that either'8humic' structures can be approximated by mixtures of common biologically derived molecules or that humic structures did not exist in significant amounts. © Springer 2005.","archive":"Scopus","container-title":"Biogeochemistry","DOI":"10.1007/s10533-004-0076-3","ISSN":"01682563 (ISSN)","issue":"1","journalAbbreviation":"Biogeochemistry","language":"English","page":"1-34","title":"Estimating the molecular composition of a diverse range of natural organic materials from solid-state 13C NMR and elemental analyses","volume":"72","author":[{"family":"Nelson","given":"P.N."},{"family":"Baldock","given":"J.A."}],"issued":{"date-parts":[["2005"]]},"citation-key":"nelsonEstimatingMolecularComposition2005"},"label":"page"}],"schema":"https://github.com/citation-style-language/schema/raw/master/csl-citation.json"} </w:instrText>
      </w:r>
      <w:r>
        <w:fldChar w:fldCharType="separate"/>
      </w:r>
      <w:r w:rsidR="00263CBE" w:rsidRPr="00263CBE">
        <w:rPr>
          <w:rFonts w:ascii="Calibri" w:hAnsi="Calibri" w:cs="Calibri"/>
        </w:rPr>
        <w:t>(Nelson &amp; Baldock, 2005)</w:t>
      </w:r>
      <w:r>
        <w:fldChar w:fldCharType="end"/>
      </w:r>
      <w:r>
        <w:t xml:space="preserve">, with representative </w:t>
      </w:r>
      <w:r w:rsidRPr="0018137C">
        <w:t xml:space="preserve">classes of compounds </w:t>
      </w:r>
      <w:r>
        <w:fldChar w:fldCharType="begin"/>
      </w:r>
      <w:r w:rsidR="00263CBE">
        <w:instrText xml:space="preserve"> ADDIN ZOTERO_ITEM CSL_CITATION {"citationID":"kT046Y1h","properties":{"formattedCitation":"(Knicker &amp; L\\uc0\\u252{}demann, 1995)","plainCitation":"(Knicker &amp; Lüdemann, 1995)","noteIndex":0},"citationItems":[{"id":2040,"uris":["http://zotero.org/users/5408042/items/L98S6CQF"],"itemData":{"id":2040,"type":"article-journal","abstract":"Nitrogen-15 enriched plants (Lolium perenne (rye grass) and Triticum sativum (wheat)) have been composted under controlled conditions up to 630 days. The composts were characterized by C-13 and N-15 CPMAS spectra. For some composts N-15 HR NMR solution spectra of the NaOH extracts were studied. The composts were characterized by weight loss and elementary analysis. Most of the nitrogen detectable is assigned to amide/peptide structures (80–90%), the remaining intensities being found in the chemical shift region of amino- and ammonium groups. Signals for nitrogen-containing heterocycles were not observed. Less than 5% of the intensity of the low field side of the main peptide/amide signal might be ascribed to indole/imidazole/uric acid derivatives. Combined analysis of C-13 CPMAS spectra, the elemental analysis and mass balance, yield the result that all chemical structures visible in the C-13 spectra are altered in the composting process, although at different rates.","container-title":"Organic Geochemistry","DOI":"10.1016/0146-6380(95)00007-2","ISSN":"0146-6380","issue":"4","journalAbbreviation":"Organic Geochemistry","language":"en","page":"329-341","source":"ScienceDirect","title":"N-15 and C-13 CPMAS and solution NMR studies of N-15 enriched plant material during 600 days of microbial degradation","volume":"23","author":[{"family":"Knicker","given":"H."},{"family":"Lüdemann","given":"H. -D."}],"issued":{"date-parts":[["1995",4,1]]},"citation-key":"knickerN15C13CPMAS1995"},"label":"page"}],"schema":"https://github.com/citation-style-language/schema/raw/master/csl-citation.json"} </w:instrText>
      </w:r>
      <w:r>
        <w:fldChar w:fldCharType="separate"/>
      </w:r>
      <w:r w:rsidR="00263CBE" w:rsidRPr="00263CBE">
        <w:rPr>
          <w:rFonts w:ascii="Calibri" w:hAnsi="Calibri" w:cs="Calibri"/>
        </w:rPr>
        <w:t>(Knicker &amp; Lüdemann, 1995)</w:t>
      </w:r>
      <w:r>
        <w:fldChar w:fldCharType="end"/>
      </w:r>
      <w:r>
        <w:t>.</w:t>
      </w:r>
    </w:p>
    <w:tbl>
      <w:tblPr>
        <w:tblStyle w:val="PlainTable2"/>
        <w:tblW w:w="5240" w:type="pct"/>
        <w:tblLayout w:type="fixed"/>
        <w:tblLook w:val="04A0" w:firstRow="1" w:lastRow="0" w:firstColumn="1" w:lastColumn="0" w:noHBand="0" w:noVBand="1"/>
      </w:tblPr>
      <w:tblGrid>
        <w:gridCol w:w="1531"/>
        <w:gridCol w:w="2164"/>
        <w:gridCol w:w="1081"/>
        <w:gridCol w:w="1620"/>
        <w:gridCol w:w="1171"/>
        <w:gridCol w:w="1169"/>
        <w:gridCol w:w="1073"/>
      </w:tblGrid>
      <w:tr w:rsidR="00E86630" w:rsidRPr="009473D0" w14:paraId="7546525E" w14:textId="77777777" w:rsidTr="00293EC1">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80" w:type="pct"/>
          </w:tcPr>
          <w:p w14:paraId="3191DA92" w14:textId="77777777" w:rsidR="00E86630" w:rsidRPr="009473D0" w:rsidRDefault="00E86630" w:rsidP="00293EC1">
            <w:pPr>
              <w:rPr>
                <w:sz w:val="20"/>
                <w:szCs w:val="20"/>
              </w:rPr>
            </w:pPr>
            <w:r w:rsidRPr="009473D0">
              <w:rPr>
                <w:sz w:val="20"/>
                <w:szCs w:val="20"/>
              </w:rPr>
              <w:t>Chemical shift region</w:t>
            </w:r>
          </w:p>
        </w:tc>
        <w:tc>
          <w:tcPr>
            <w:tcW w:w="1103" w:type="pct"/>
          </w:tcPr>
          <w:p w14:paraId="437AD98C" w14:textId="77777777" w:rsidR="00E86630" w:rsidRPr="009473D0" w:rsidRDefault="00E86630" w:rsidP="00293EC1">
            <w:pPr>
              <w:cnfStyle w:val="100000000000" w:firstRow="1" w:lastRow="0" w:firstColumn="0" w:lastColumn="0" w:oddVBand="0" w:evenVBand="0" w:oddHBand="0" w:evenHBand="0" w:firstRowFirstColumn="0" w:firstRowLastColumn="0" w:lastRowFirstColumn="0" w:lastRowLastColumn="0"/>
              <w:rPr>
                <w:sz w:val="20"/>
                <w:szCs w:val="20"/>
              </w:rPr>
            </w:pPr>
            <w:r w:rsidRPr="009473D0">
              <w:rPr>
                <w:sz w:val="20"/>
                <w:szCs w:val="20"/>
              </w:rPr>
              <w:t>Representative classes of compounds included</w:t>
            </w:r>
          </w:p>
        </w:tc>
        <w:tc>
          <w:tcPr>
            <w:tcW w:w="551" w:type="pct"/>
          </w:tcPr>
          <w:p w14:paraId="5AF8A6C6" w14:textId="77777777" w:rsidR="00E86630" w:rsidRPr="009473D0" w:rsidRDefault="00E86630" w:rsidP="00293EC1">
            <w:pPr>
              <w:cnfStyle w:val="100000000000" w:firstRow="1" w:lastRow="0" w:firstColumn="0" w:lastColumn="0" w:oddVBand="0" w:evenVBand="0" w:oddHBand="0" w:evenHBand="0" w:firstRowFirstColumn="0" w:firstRowLastColumn="0" w:lastRowFirstColumn="0" w:lastRowLastColumn="0"/>
              <w:rPr>
                <w:sz w:val="20"/>
                <w:szCs w:val="20"/>
              </w:rPr>
            </w:pPr>
            <w:r w:rsidRPr="009473D0">
              <w:rPr>
                <w:sz w:val="20"/>
                <w:szCs w:val="20"/>
              </w:rPr>
              <w:t>Carbohydrates</w:t>
            </w:r>
          </w:p>
        </w:tc>
        <w:tc>
          <w:tcPr>
            <w:tcW w:w="826" w:type="pct"/>
          </w:tcPr>
          <w:p w14:paraId="1022EEBF" w14:textId="77777777" w:rsidR="00E86630" w:rsidRPr="009473D0" w:rsidRDefault="00E86630" w:rsidP="00293EC1">
            <w:pPr>
              <w:cnfStyle w:val="100000000000" w:firstRow="1" w:lastRow="0" w:firstColumn="0" w:lastColumn="0" w:oddVBand="0" w:evenVBand="0" w:oddHBand="0" w:evenHBand="0" w:firstRowFirstColumn="0" w:firstRowLastColumn="0" w:lastRowFirstColumn="0" w:lastRowLastColumn="0"/>
              <w:rPr>
                <w:sz w:val="20"/>
                <w:szCs w:val="20"/>
              </w:rPr>
            </w:pPr>
            <w:r w:rsidRPr="009473D0">
              <w:rPr>
                <w:sz w:val="20"/>
                <w:szCs w:val="20"/>
              </w:rPr>
              <w:t>Proteins</w:t>
            </w:r>
          </w:p>
        </w:tc>
        <w:tc>
          <w:tcPr>
            <w:tcW w:w="597" w:type="pct"/>
          </w:tcPr>
          <w:p w14:paraId="272DCFAF" w14:textId="77777777" w:rsidR="00E86630" w:rsidRPr="009473D0" w:rsidRDefault="00E86630" w:rsidP="00293EC1">
            <w:pPr>
              <w:cnfStyle w:val="100000000000" w:firstRow="1" w:lastRow="0" w:firstColumn="0" w:lastColumn="0" w:oddVBand="0" w:evenVBand="0" w:oddHBand="0" w:evenHBand="0" w:firstRowFirstColumn="0" w:firstRowLastColumn="0" w:lastRowFirstColumn="0" w:lastRowLastColumn="0"/>
              <w:rPr>
                <w:sz w:val="20"/>
                <w:szCs w:val="20"/>
              </w:rPr>
            </w:pPr>
            <w:r w:rsidRPr="009473D0">
              <w:rPr>
                <w:sz w:val="20"/>
                <w:szCs w:val="20"/>
              </w:rPr>
              <w:t>Lignins</w:t>
            </w:r>
          </w:p>
        </w:tc>
        <w:tc>
          <w:tcPr>
            <w:tcW w:w="596" w:type="pct"/>
          </w:tcPr>
          <w:p w14:paraId="23852C31" w14:textId="77777777" w:rsidR="00E86630" w:rsidRPr="009473D0" w:rsidRDefault="00E86630" w:rsidP="00293EC1">
            <w:pPr>
              <w:cnfStyle w:val="100000000000" w:firstRow="1" w:lastRow="0" w:firstColumn="0" w:lastColumn="0" w:oddVBand="0" w:evenVBand="0" w:oddHBand="0" w:evenHBand="0" w:firstRowFirstColumn="0" w:firstRowLastColumn="0" w:lastRowFirstColumn="0" w:lastRowLastColumn="0"/>
              <w:rPr>
                <w:sz w:val="20"/>
                <w:szCs w:val="20"/>
              </w:rPr>
            </w:pPr>
            <w:r w:rsidRPr="009473D0">
              <w:rPr>
                <w:sz w:val="20"/>
                <w:szCs w:val="20"/>
              </w:rPr>
              <w:t>Lipids</w:t>
            </w:r>
          </w:p>
        </w:tc>
        <w:tc>
          <w:tcPr>
            <w:tcW w:w="548" w:type="pct"/>
          </w:tcPr>
          <w:p w14:paraId="46FD0F72" w14:textId="77777777" w:rsidR="00E86630" w:rsidRPr="009473D0" w:rsidRDefault="00E86630" w:rsidP="00293EC1">
            <w:pPr>
              <w:cnfStyle w:val="100000000000" w:firstRow="1" w:lastRow="0" w:firstColumn="0" w:lastColumn="0" w:oddVBand="0" w:evenVBand="0" w:oddHBand="0" w:evenHBand="0" w:firstRowFirstColumn="0" w:firstRowLastColumn="0" w:lastRowFirstColumn="0" w:lastRowLastColumn="0"/>
              <w:rPr>
                <w:sz w:val="20"/>
                <w:szCs w:val="20"/>
              </w:rPr>
            </w:pPr>
            <w:r w:rsidRPr="009473D0">
              <w:rPr>
                <w:sz w:val="20"/>
                <w:szCs w:val="20"/>
              </w:rPr>
              <w:t>Carbonyls</w:t>
            </w:r>
          </w:p>
        </w:tc>
      </w:tr>
      <w:tr w:rsidR="00E86630" w:rsidRPr="009473D0" w14:paraId="630C7A57" w14:textId="77777777" w:rsidTr="00293EC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780" w:type="pct"/>
            <w:tcBorders>
              <w:bottom w:val="nil"/>
            </w:tcBorders>
          </w:tcPr>
          <w:p w14:paraId="25D2C4B4" w14:textId="77777777" w:rsidR="00E86630" w:rsidRPr="009473D0" w:rsidRDefault="00E86630" w:rsidP="00293EC1">
            <w:pPr>
              <w:rPr>
                <w:b w:val="0"/>
                <w:bCs w:val="0"/>
                <w:sz w:val="20"/>
                <w:szCs w:val="20"/>
              </w:rPr>
            </w:pPr>
            <w:r w:rsidRPr="009473D0">
              <w:rPr>
                <w:b w:val="0"/>
                <w:bCs w:val="0"/>
                <w:sz w:val="20"/>
                <w:szCs w:val="20"/>
              </w:rPr>
              <w:t>Alkyl C (0–45 ppm)</w:t>
            </w:r>
          </w:p>
        </w:tc>
        <w:tc>
          <w:tcPr>
            <w:tcW w:w="1103" w:type="pct"/>
            <w:tcBorders>
              <w:bottom w:val="nil"/>
            </w:tcBorders>
          </w:tcPr>
          <w:p w14:paraId="21D0FE3E" w14:textId="77777777" w:rsidR="00E86630" w:rsidRPr="009473D0" w:rsidRDefault="00E86630" w:rsidP="00293EC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9473D0">
              <w:rPr>
                <w:sz w:val="20"/>
                <w:szCs w:val="20"/>
              </w:rPr>
              <w:t>aliphatic compounds, lipids, waxes</w:t>
            </w:r>
          </w:p>
        </w:tc>
        <w:tc>
          <w:tcPr>
            <w:tcW w:w="551" w:type="pct"/>
            <w:tcBorders>
              <w:bottom w:val="nil"/>
            </w:tcBorders>
          </w:tcPr>
          <w:p w14:paraId="69B6439F" w14:textId="77777777" w:rsidR="00E86630" w:rsidRPr="009473D0" w:rsidRDefault="00E86630" w:rsidP="00293EC1">
            <w:pPr>
              <w:cnfStyle w:val="000000100000" w:firstRow="0" w:lastRow="0" w:firstColumn="0" w:lastColumn="0" w:oddVBand="0" w:evenVBand="0" w:oddHBand="1" w:evenHBand="0" w:firstRowFirstColumn="0" w:firstRowLastColumn="0" w:lastRowFirstColumn="0" w:lastRowLastColumn="0"/>
              <w:rPr>
                <w:sz w:val="20"/>
                <w:szCs w:val="20"/>
              </w:rPr>
            </w:pPr>
            <w:r w:rsidRPr="009473D0">
              <w:rPr>
                <w:rFonts w:ascii="Calibri" w:hAnsi="Calibri" w:cs="Calibri"/>
                <w:color w:val="000000"/>
                <w:sz w:val="20"/>
                <w:szCs w:val="20"/>
              </w:rPr>
              <w:t>0</w:t>
            </w:r>
          </w:p>
        </w:tc>
        <w:tc>
          <w:tcPr>
            <w:tcW w:w="826" w:type="pct"/>
            <w:tcBorders>
              <w:bottom w:val="nil"/>
            </w:tcBorders>
          </w:tcPr>
          <w:p w14:paraId="104D2652" w14:textId="77777777" w:rsidR="00E86630" w:rsidRPr="009473D0" w:rsidRDefault="00E86630" w:rsidP="00293EC1">
            <w:pPr>
              <w:cnfStyle w:val="000000100000" w:firstRow="0" w:lastRow="0" w:firstColumn="0" w:lastColumn="0" w:oddVBand="0" w:evenVBand="0" w:oddHBand="1" w:evenHBand="0" w:firstRowFirstColumn="0" w:firstRowLastColumn="0" w:lastRowFirstColumn="0" w:lastRowLastColumn="0"/>
              <w:rPr>
                <w:sz w:val="20"/>
                <w:szCs w:val="20"/>
              </w:rPr>
            </w:pPr>
            <w:r w:rsidRPr="009473D0">
              <w:rPr>
                <w:rFonts w:ascii="Calibri" w:hAnsi="Calibri" w:cs="Calibri"/>
                <w:color w:val="000000"/>
                <w:sz w:val="20"/>
                <w:szCs w:val="20"/>
              </w:rPr>
              <w:t>39.6</w:t>
            </w:r>
          </w:p>
        </w:tc>
        <w:tc>
          <w:tcPr>
            <w:tcW w:w="597" w:type="pct"/>
            <w:tcBorders>
              <w:bottom w:val="nil"/>
            </w:tcBorders>
          </w:tcPr>
          <w:p w14:paraId="7AC3DF6B" w14:textId="77777777" w:rsidR="00E86630" w:rsidRPr="009473D0" w:rsidRDefault="00E86630" w:rsidP="00293EC1">
            <w:pPr>
              <w:cnfStyle w:val="000000100000" w:firstRow="0" w:lastRow="0" w:firstColumn="0" w:lastColumn="0" w:oddVBand="0" w:evenVBand="0" w:oddHBand="1" w:evenHBand="0" w:firstRowFirstColumn="0" w:firstRowLastColumn="0" w:lastRowFirstColumn="0" w:lastRowLastColumn="0"/>
              <w:rPr>
                <w:sz w:val="20"/>
                <w:szCs w:val="20"/>
              </w:rPr>
            </w:pPr>
            <w:r w:rsidRPr="009473D0">
              <w:rPr>
                <w:rFonts w:ascii="Calibri" w:hAnsi="Calibri" w:cs="Calibri"/>
                <w:color w:val="000000"/>
                <w:sz w:val="20"/>
                <w:szCs w:val="20"/>
              </w:rPr>
              <w:t>10.5</w:t>
            </w:r>
          </w:p>
        </w:tc>
        <w:tc>
          <w:tcPr>
            <w:tcW w:w="596" w:type="pct"/>
            <w:tcBorders>
              <w:bottom w:val="nil"/>
            </w:tcBorders>
          </w:tcPr>
          <w:p w14:paraId="475EFE96" w14:textId="77777777" w:rsidR="00E86630" w:rsidRPr="009473D0" w:rsidRDefault="00E86630" w:rsidP="00293EC1">
            <w:pPr>
              <w:cnfStyle w:val="000000100000" w:firstRow="0" w:lastRow="0" w:firstColumn="0" w:lastColumn="0" w:oddVBand="0" w:evenVBand="0" w:oddHBand="1" w:evenHBand="0" w:firstRowFirstColumn="0" w:firstRowLastColumn="0" w:lastRowFirstColumn="0" w:lastRowLastColumn="0"/>
              <w:rPr>
                <w:sz w:val="20"/>
                <w:szCs w:val="20"/>
              </w:rPr>
            </w:pPr>
            <w:r w:rsidRPr="009473D0">
              <w:rPr>
                <w:rFonts w:ascii="Calibri" w:hAnsi="Calibri" w:cs="Calibri"/>
                <w:color w:val="000000"/>
                <w:sz w:val="20"/>
                <w:szCs w:val="20"/>
              </w:rPr>
              <w:t>75.6</w:t>
            </w:r>
          </w:p>
        </w:tc>
        <w:tc>
          <w:tcPr>
            <w:tcW w:w="548" w:type="pct"/>
            <w:tcBorders>
              <w:bottom w:val="nil"/>
            </w:tcBorders>
          </w:tcPr>
          <w:p w14:paraId="22599DEE" w14:textId="77777777" w:rsidR="00E86630" w:rsidRPr="009473D0" w:rsidRDefault="00E86630" w:rsidP="00293EC1">
            <w:pPr>
              <w:cnfStyle w:val="000000100000" w:firstRow="0" w:lastRow="0" w:firstColumn="0" w:lastColumn="0" w:oddVBand="0" w:evenVBand="0" w:oddHBand="1" w:evenHBand="0" w:firstRowFirstColumn="0" w:firstRowLastColumn="0" w:lastRowFirstColumn="0" w:lastRowLastColumn="0"/>
              <w:rPr>
                <w:sz w:val="20"/>
                <w:szCs w:val="20"/>
              </w:rPr>
            </w:pPr>
            <w:r w:rsidRPr="009473D0">
              <w:rPr>
                <w:rFonts w:ascii="Calibri" w:hAnsi="Calibri" w:cs="Calibri"/>
                <w:color w:val="000000"/>
                <w:sz w:val="20"/>
                <w:szCs w:val="20"/>
              </w:rPr>
              <w:t>0</w:t>
            </w:r>
          </w:p>
        </w:tc>
      </w:tr>
      <w:tr w:rsidR="00E86630" w:rsidRPr="009473D0" w14:paraId="2F1E7F00" w14:textId="77777777" w:rsidTr="00293EC1">
        <w:trPr>
          <w:trHeight w:val="269"/>
        </w:trPr>
        <w:tc>
          <w:tcPr>
            <w:cnfStyle w:val="001000000000" w:firstRow="0" w:lastRow="0" w:firstColumn="1" w:lastColumn="0" w:oddVBand="0" w:evenVBand="0" w:oddHBand="0" w:evenHBand="0" w:firstRowFirstColumn="0" w:firstRowLastColumn="0" w:lastRowFirstColumn="0" w:lastRowLastColumn="0"/>
            <w:tcW w:w="780" w:type="pct"/>
            <w:tcBorders>
              <w:top w:val="nil"/>
              <w:bottom w:val="nil"/>
            </w:tcBorders>
          </w:tcPr>
          <w:p w14:paraId="70BE555C" w14:textId="77777777" w:rsidR="00E86630" w:rsidRPr="009473D0" w:rsidRDefault="00E86630" w:rsidP="00293EC1">
            <w:pPr>
              <w:rPr>
                <w:b w:val="0"/>
                <w:bCs w:val="0"/>
                <w:sz w:val="20"/>
                <w:szCs w:val="20"/>
              </w:rPr>
            </w:pPr>
            <w:r w:rsidRPr="009473D0">
              <w:rPr>
                <w:b w:val="0"/>
                <w:bCs w:val="0"/>
                <w:sz w:val="20"/>
                <w:szCs w:val="20"/>
              </w:rPr>
              <w:t>Methoxy (45–60 ppm)</w:t>
            </w:r>
          </w:p>
        </w:tc>
        <w:tc>
          <w:tcPr>
            <w:tcW w:w="1103" w:type="pct"/>
            <w:tcBorders>
              <w:top w:val="nil"/>
              <w:bottom w:val="nil"/>
            </w:tcBorders>
          </w:tcPr>
          <w:p w14:paraId="50DDB0FE" w14:textId="77777777" w:rsidR="00E86630" w:rsidRPr="009473D0" w:rsidRDefault="00E86630" w:rsidP="00293EC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9473D0">
              <w:rPr>
                <w:sz w:val="20"/>
                <w:szCs w:val="20"/>
              </w:rPr>
              <w:t>lignins substituents, amino acids, amino sugars</w:t>
            </w:r>
          </w:p>
        </w:tc>
        <w:tc>
          <w:tcPr>
            <w:tcW w:w="551" w:type="pct"/>
            <w:tcBorders>
              <w:top w:val="nil"/>
              <w:bottom w:val="nil"/>
            </w:tcBorders>
          </w:tcPr>
          <w:p w14:paraId="63DBE2CD" w14:textId="77777777" w:rsidR="00E86630" w:rsidRPr="009473D0" w:rsidRDefault="00E86630" w:rsidP="00293EC1">
            <w:pPr>
              <w:cnfStyle w:val="000000000000" w:firstRow="0" w:lastRow="0" w:firstColumn="0" w:lastColumn="0" w:oddVBand="0" w:evenVBand="0" w:oddHBand="0" w:evenHBand="0" w:firstRowFirstColumn="0" w:firstRowLastColumn="0" w:lastRowFirstColumn="0" w:lastRowLastColumn="0"/>
              <w:rPr>
                <w:sz w:val="20"/>
                <w:szCs w:val="20"/>
              </w:rPr>
            </w:pPr>
            <w:r w:rsidRPr="009473D0">
              <w:rPr>
                <w:rFonts w:ascii="Calibri" w:hAnsi="Calibri" w:cs="Calibri"/>
                <w:color w:val="000000"/>
                <w:sz w:val="20"/>
                <w:szCs w:val="20"/>
              </w:rPr>
              <w:t>4.3</w:t>
            </w:r>
          </w:p>
        </w:tc>
        <w:tc>
          <w:tcPr>
            <w:tcW w:w="826" w:type="pct"/>
            <w:tcBorders>
              <w:top w:val="nil"/>
              <w:bottom w:val="nil"/>
            </w:tcBorders>
          </w:tcPr>
          <w:p w14:paraId="0598CD36" w14:textId="77777777" w:rsidR="00E86630" w:rsidRPr="009473D0" w:rsidRDefault="00E86630" w:rsidP="00293EC1">
            <w:pPr>
              <w:cnfStyle w:val="000000000000" w:firstRow="0" w:lastRow="0" w:firstColumn="0" w:lastColumn="0" w:oddVBand="0" w:evenVBand="0" w:oddHBand="0" w:evenHBand="0" w:firstRowFirstColumn="0" w:firstRowLastColumn="0" w:lastRowFirstColumn="0" w:lastRowLastColumn="0"/>
              <w:rPr>
                <w:sz w:val="20"/>
                <w:szCs w:val="20"/>
              </w:rPr>
            </w:pPr>
            <w:r w:rsidRPr="009473D0">
              <w:rPr>
                <w:rFonts w:ascii="Calibri" w:hAnsi="Calibri" w:cs="Calibri"/>
                <w:color w:val="000000"/>
                <w:sz w:val="20"/>
                <w:szCs w:val="20"/>
              </w:rPr>
              <w:t>21.9</w:t>
            </w:r>
          </w:p>
        </w:tc>
        <w:tc>
          <w:tcPr>
            <w:tcW w:w="597" w:type="pct"/>
            <w:tcBorders>
              <w:top w:val="nil"/>
              <w:bottom w:val="nil"/>
            </w:tcBorders>
          </w:tcPr>
          <w:p w14:paraId="520531F6" w14:textId="77777777" w:rsidR="00E86630" w:rsidRPr="009473D0" w:rsidRDefault="00E86630" w:rsidP="00293EC1">
            <w:pPr>
              <w:cnfStyle w:val="000000000000" w:firstRow="0" w:lastRow="0" w:firstColumn="0" w:lastColumn="0" w:oddVBand="0" w:evenVBand="0" w:oddHBand="0" w:evenHBand="0" w:firstRowFirstColumn="0" w:firstRowLastColumn="0" w:lastRowFirstColumn="0" w:lastRowLastColumn="0"/>
              <w:rPr>
                <w:sz w:val="20"/>
                <w:szCs w:val="20"/>
              </w:rPr>
            </w:pPr>
            <w:r w:rsidRPr="009473D0">
              <w:rPr>
                <w:rFonts w:ascii="Calibri" w:hAnsi="Calibri" w:cs="Calibri"/>
                <w:color w:val="000000"/>
                <w:sz w:val="20"/>
                <w:szCs w:val="20"/>
              </w:rPr>
              <w:t>13.8</w:t>
            </w:r>
          </w:p>
        </w:tc>
        <w:tc>
          <w:tcPr>
            <w:tcW w:w="596" w:type="pct"/>
            <w:tcBorders>
              <w:top w:val="nil"/>
              <w:bottom w:val="nil"/>
            </w:tcBorders>
          </w:tcPr>
          <w:p w14:paraId="2C5A7DB0" w14:textId="77777777" w:rsidR="00E86630" w:rsidRPr="009473D0" w:rsidRDefault="00E86630" w:rsidP="00293EC1">
            <w:pPr>
              <w:cnfStyle w:val="000000000000" w:firstRow="0" w:lastRow="0" w:firstColumn="0" w:lastColumn="0" w:oddVBand="0" w:evenVBand="0" w:oddHBand="0" w:evenHBand="0" w:firstRowFirstColumn="0" w:firstRowLastColumn="0" w:lastRowFirstColumn="0" w:lastRowLastColumn="0"/>
              <w:rPr>
                <w:sz w:val="20"/>
                <w:szCs w:val="20"/>
              </w:rPr>
            </w:pPr>
            <w:r w:rsidRPr="009473D0">
              <w:rPr>
                <w:rFonts w:ascii="Calibri" w:hAnsi="Calibri" w:cs="Calibri"/>
                <w:color w:val="000000"/>
                <w:sz w:val="20"/>
                <w:szCs w:val="20"/>
              </w:rPr>
              <w:t>4.5</w:t>
            </w:r>
          </w:p>
        </w:tc>
        <w:tc>
          <w:tcPr>
            <w:tcW w:w="548" w:type="pct"/>
            <w:tcBorders>
              <w:top w:val="nil"/>
              <w:bottom w:val="nil"/>
            </w:tcBorders>
          </w:tcPr>
          <w:p w14:paraId="2694A22E" w14:textId="77777777" w:rsidR="00E86630" w:rsidRPr="009473D0" w:rsidRDefault="00E86630" w:rsidP="00293EC1">
            <w:pPr>
              <w:cnfStyle w:val="000000000000" w:firstRow="0" w:lastRow="0" w:firstColumn="0" w:lastColumn="0" w:oddVBand="0" w:evenVBand="0" w:oddHBand="0" w:evenHBand="0" w:firstRowFirstColumn="0" w:firstRowLastColumn="0" w:lastRowFirstColumn="0" w:lastRowLastColumn="0"/>
              <w:rPr>
                <w:sz w:val="20"/>
                <w:szCs w:val="20"/>
              </w:rPr>
            </w:pPr>
            <w:r w:rsidRPr="009473D0">
              <w:rPr>
                <w:rFonts w:ascii="Calibri" w:hAnsi="Calibri" w:cs="Calibri"/>
                <w:color w:val="000000"/>
                <w:sz w:val="20"/>
                <w:szCs w:val="20"/>
              </w:rPr>
              <w:t>0</w:t>
            </w:r>
          </w:p>
        </w:tc>
      </w:tr>
      <w:tr w:rsidR="00E86630" w:rsidRPr="009473D0" w14:paraId="09469F82" w14:textId="77777777" w:rsidTr="00293EC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780" w:type="pct"/>
            <w:tcBorders>
              <w:top w:val="nil"/>
              <w:bottom w:val="nil"/>
            </w:tcBorders>
          </w:tcPr>
          <w:p w14:paraId="3FFAF6FF" w14:textId="77777777" w:rsidR="00E86630" w:rsidRPr="009473D0" w:rsidRDefault="00E86630" w:rsidP="00293EC1">
            <w:pPr>
              <w:rPr>
                <w:b w:val="0"/>
                <w:bCs w:val="0"/>
                <w:sz w:val="20"/>
                <w:szCs w:val="20"/>
              </w:rPr>
            </w:pPr>
            <w:r w:rsidRPr="009473D0">
              <w:rPr>
                <w:b w:val="0"/>
                <w:bCs w:val="0"/>
                <w:sz w:val="20"/>
                <w:szCs w:val="20"/>
              </w:rPr>
              <w:t>O-alkyl (60-95 ppm)</w:t>
            </w:r>
          </w:p>
        </w:tc>
        <w:tc>
          <w:tcPr>
            <w:tcW w:w="1103" w:type="pct"/>
            <w:tcBorders>
              <w:top w:val="nil"/>
              <w:bottom w:val="nil"/>
            </w:tcBorders>
          </w:tcPr>
          <w:p w14:paraId="19E25FDE" w14:textId="77777777" w:rsidR="00E86630" w:rsidRPr="009473D0" w:rsidRDefault="00E86630" w:rsidP="00293EC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9473D0">
              <w:rPr>
                <w:sz w:val="20"/>
                <w:szCs w:val="20"/>
              </w:rPr>
              <w:t>carbohydrates, lignins propyl side chains</w:t>
            </w:r>
          </w:p>
        </w:tc>
        <w:tc>
          <w:tcPr>
            <w:tcW w:w="551" w:type="pct"/>
            <w:tcBorders>
              <w:top w:val="nil"/>
              <w:bottom w:val="nil"/>
            </w:tcBorders>
          </w:tcPr>
          <w:p w14:paraId="1C848937" w14:textId="77777777" w:rsidR="00E86630" w:rsidRPr="009473D0" w:rsidRDefault="00E86630" w:rsidP="00293EC1">
            <w:pPr>
              <w:cnfStyle w:val="000000100000" w:firstRow="0" w:lastRow="0" w:firstColumn="0" w:lastColumn="0" w:oddVBand="0" w:evenVBand="0" w:oddHBand="1" w:evenHBand="0" w:firstRowFirstColumn="0" w:firstRowLastColumn="0" w:lastRowFirstColumn="0" w:lastRowLastColumn="0"/>
              <w:rPr>
                <w:sz w:val="20"/>
                <w:szCs w:val="20"/>
              </w:rPr>
            </w:pPr>
            <w:r w:rsidRPr="009473D0">
              <w:rPr>
                <w:rFonts w:ascii="Calibri" w:hAnsi="Calibri" w:cs="Calibri"/>
                <w:color w:val="000000"/>
                <w:sz w:val="20"/>
                <w:szCs w:val="20"/>
              </w:rPr>
              <w:t>79</w:t>
            </w:r>
          </w:p>
        </w:tc>
        <w:tc>
          <w:tcPr>
            <w:tcW w:w="826" w:type="pct"/>
            <w:tcBorders>
              <w:top w:val="nil"/>
              <w:bottom w:val="nil"/>
            </w:tcBorders>
          </w:tcPr>
          <w:p w14:paraId="2390B3FC" w14:textId="77777777" w:rsidR="00E86630" w:rsidRPr="009473D0" w:rsidRDefault="00E86630" w:rsidP="00293EC1">
            <w:pPr>
              <w:cnfStyle w:val="000000100000" w:firstRow="0" w:lastRow="0" w:firstColumn="0" w:lastColumn="0" w:oddVBand="0" w:evenVBand="0" w:oddHBand="1" w:evenHBand="0" w:firstRowFirstColumn="0" w:firstRowLastColumn="0" w:lastRowFirstColumn="0" w:lastRowLastColumn="0"/>
              <w:rPr>
                <w:sz w:val="20"/>
                <w:szCs w:val="20"/>
              </w:rPr>
            </w:pPr>
            <w:r w:rsidRPr="009473D0">
              <w:rPr>
                <w:rFonts w:ascii="Calibri" w:hAnsi="Calibri" w:cs="Calibri"/>
                <w:color w:val="000000"/>
                <w:sz w:val="20"/>
                <w:szCs w:val="20"/>
              </w:rPr>
              <w:t>2.1</w:t>
            </w:r>
          </w:p>
        </w:tc>
        <w:tc>
          <w:tcPr>
            <w:tcW w:w="597" w:type="pct"/>
            <w:tcBorders>
              <w:top w:val="nil"/>
              <w:bottom w:val="nil"/>
            </w:tcBorders>
          </w:tcPr>
          <w:p w14:paraId="01559C73" w14:textId="77777777" w:rsidR="00E86630" w:rsidRPr="009473D0" w:rsidRDefault="00E86630" w:rsidP="00293EC1">
            <w:pPr>
              <w:cnfStyle w:val="000000100000" w:firstRow="0" w:lastRow="0" w:firstColumn="0" w:lastColumn="0" w:oddVBand="0" w:evenVBand="0" w:oddHBand="1" w:evenHBand="0" w:firstRowFirstColumn="0" w:firstRowLastColumn="0" w:lastRowFirstColumn="0" w:lastRowLastColumn="0"/>
              <w:rPr>
                <w:sz w:val="20"/>
                <w:szCs w:val="20"/>
              </w:rPr>
            </w:pPr>
            <w:r w:rsidRPr="009473D0">
              <w:rPr>
                <w:rFonts w:ascii="Calibri" w:hAnsi="Calibri" w:cs="Calibri"/>
                <w:color w:val="000000"/>
                <w:sz w:val="20"/>
                <w:szCs w:val="20"/>
              </w:rPr>
              <w:t>12.5</w:t>
            </w:r>
          </w:p>
        </w:tc>
        <w:tc>
          <w:tcPr>
            <w:tcW w:w="596" w:type="pct"/>
            <w:tcBorders>
              <w:top w:val="nil"/>
              <w:bottom w:val="nil"/>
            </w:tcBorders>
          </w:tcPr>
          <w:p w14:paraId="4C5F8958" w14:textId="77777777" w:rsidR="00E86630" w:rsidRPr="009473D0" w:rsidRDefault="00E86630" w:rsidP="00293EC1">
            <w:pPr>
              <w:cnfStyle w:val="000000100000" w:firstRow="0" w:lastRow="0" w:firstColumn="0" w:lastColumn="0" w:oddVBand="0" w:evenVBand="0" w:oddHBand="1" w:evenHBand="0" w:firstRowFirstColumn="0" w:firstRowLastColumn="0" w:lastRowFirstColumn="0" w:lastRowLastColumn="0"/>
              <w:rPr>
                <w:sz w:val="20"/>
                <w:szCs w:val="20"/>
              </w:rPr>
            </w:pPr>
            <w:r w:rsidRPr="009473D0">
              <w:rPr>
                <w:rFonts w:ascii="Calibri" w:hAnsi="Calibri" w:cs="Calibri"/>
                <w:color w:val="000000"/>
                <w:sz w:val="20"/>
                <w:szCs w:val="20"/>
              </w:rPr>
              <w:t>9</w:t>
            </w:r>
          </w:p>
        </w:tc>
        <w:tc>
          <w:tcPr>
            <w:tcW w:w="548" w:type="pct"/>
            <w:tcBorders>
              <w:top w:val="nil"/>
              <w:bottom w:val="nil"/>
            </w:tcBorders>
          </w:tcPr>
          <w:p w14:paraId="0824DD33" w14:textId="77777777" w:rsidR="00E86630" w:rsidRPr="009473D0" w:rsidRDefault="00E86630" w:rsidP="00293EC1">
            <w:pPr>
              <w:cnfStyle w:val="000000100000" w:firstRow="0" w:lastRow="0" w:firstColumn="0" w:lastColumn="0" w:oddVBand="0" w:evenVBand="0" w:oddHBand="1" w:evenHBand="0" w:firstRowFirstColumn="0" w:firstRowLastColumn="0" w:lastRowFirstColumn="0" w:lastRowLastColumn="0"/>
              <w:rPr>
                <w:sz w:val="20"/>
                <w:szCs w:val="20"/>
              </w:rPr>
            </w:pPr>
            <w:r w:rsidRPr="009473D0">
              <w:rPr>
                <w:rFonts w:ascii="Calibri" w:hAnsi="Calibri" w:cs="Calibri"/>
                <w:color w:val="000000"/>
                <w:sz w:val="20"/>
                <w:szCs w:val="20"/>
              </w:rPr>
              <w:t>0</w:t>
            </w:r>
          </w:p>
        </w:tc>
      </w:tr>
      <w:tr w:rsidR="00E86630" w:rsidRPr="009473D0" w14:paraId="54CC2D01" w14:textId="77777777" w:rsidTr="00293EC1">
        <w:trPr>
          <w:trHeight w:val="269"/>
        </w:trPr>
        <w:tc>
          <w:tcPr>
            <w:cnfStyle w:val="001000000000" w:firstRow="0" w:lastRow="0" w:firstColumn="1" w:lastColumn="0" w:oddVBand="0" w:evenVBand="0" w:oddHBand="0" w:evenHBand="0" w:firstRowFirstColumn="0" w:firstRowLastColumn="0" w:lastRowFirstColumn="0" w:lastRowLastColumn="0"/>
            <w:tcW w:w="780" w:type="pct"/>
            <w:tcBorders>
              <w:top w:val="nil"/>
              <w:bottom w:val="nil"/>
            </w:tcBorders>
          </w:tcPr>
          <w:p w14:paraId="7561F79E" w14:textId="77777777" w:rsidR="00E86630" w:rsidRPr="009473D0" w:rsidRDefault="00E86630" w:rsidP="00293EC1">
            <w:pPr>
              <w:rPr>
                <w:b w:val="0"/>
                <w:bCs w:val="0"/>
                <w:sz w:val="20"/>
                <w:szCs w:val="20"/>
              </w:rPr>
            </w:pPr>
            <w:r w:rsidRPr="009473D0">
              <w:rPr>
                <w:b w:val="0"/>
                <w:bCs w:val="0"/>
                <w:sz w:val="20"/>
                <w:szCs w:val="20"/>
              </w:rPr>
              <w:t>Di-O-alkyl (95-110 ppm)</w:t>
            </w:r>
          </w:p>
        </w:tc>
        <w:tc>
          <w:tcPr>
            <w:tcW w:w="1103" w:type="pct"/>
            <w:tcBorders>
              <w:top w:val="nil"/>
              <w:bottom w:val="nil"/>
            </w:tcBorders>
          </w:tcPr>
          <w:p w14:paraId="4A656DD8" w14:textId="77777777" w:rsidR="00E86630" w:rsidRPr="009473D0" w:rsidRDefault="00E86630" w:rsidP="00293EC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9473D0">
              <w:rPr>
                <w:sz w:val="20"/>
                <w:szCs w:val="20"/>
              </w:rPr>
              <w:t>carbohydrates</w:t>
            </w:r>
          </w:p>
        </w:tc>
        <w:tc>
          <w:tcPr>
            <w:tcW w:w="551" w:type="pct"/>
            <w:tcBorders>
              <w:top w:val="nil"/>
              <w:bottom w:val="nil"/>
            </w:tcBorders>
          </w:tcPr>
          <w:p w14:paraId="3033E4A4" w14:textId="77777777" w:rsidR="00E86630" w:rsidRPr="009473D0" w:rsidRDefault="00E86630" w:rsidP="00293EC1">
            <w:pPr>
              <w:cnfStyle w:val="000000000000" w:firstRow="0" w:lastRow="0" w:firstColumn="0" w:lastColumn="0" w:oddVBand="0" w:evenVBand="0" w:oddHBand="0" w:evenHBand="0" w:firstRowFirstColumn="0" w:firstRowLastColumn="0" w:lastRowFirstColumn="0" w:lastRowLastColumn="0"/>
              <w:rPr>
                <w:sz w:val="20"/>
                <w:szCs w:val="20"/>
              </w:rPr>
            </w:pPr>
            <w:r w:rsidRPr="009473D0">
              <w:rPr>
                <w:rFonts w:ascii="Calibri" w:hAnsi="Calibri" w:cs="Calibri"/>
                <w:color w:val="000000"/>
                <w:sz w:val="20"/>
                <w:szCs w:val="20"/>
              </w:rPr>
              <w:t>15.7</w:t>
            </w:r>
          </w:p>
        </w:tc>
        <w:tc>
          <w:tcPr>
            <w:tcW w:w="826" w:type="pct"/>
            <w:tcBorders>
              <w:top w:val="nil"/>
              <w:bottom w:val="nil"/>
            </w:tcBorders>
          </w:tcPr>
          <w:p w14:paraId="51D73401" w14:textId="77777777" w:rsidR="00E86630" w:rsidRPr="009473D0" w:rsidRDefault="00E86630" w:rsidP="00293EC1">
            <w:pPr>
              <w:cnfStyle w:val="000000000000" w:firstRow="0" w:lastRow="0" w:firstColumn="0" w:lastColumn="0" w:oddVBand="0" w:evenVBand="0" w:oddHBand="0" w:evenHBand="0" w:firstRowFirstColumn="0" w:firstRowLastColumn="0" w:lastRowFirstColumn="0" w:lastRowLastColumn="0"/>
              <w:rPr>
                <w:sz w:val="20"/>
                <w:szCs w:val="20"/>
              </w:rPr>
            </w:pPr>
            <w:r w:rsidRPr="009473D0">
              <w:rPr>
                <w:rFonts w:ascii="Calibri" w:hAnsi="Calibri" w:cs="Calibri"/>
                <w:color w:val="000000"/>
                <w:sz w:val="20"/>
                <w:szCs w:val="20"/>
              </w:rPr>
              <w:t>0</w:t>
            </w:r>
          </w:p>
        </w:tc>
        <w:tc>
          <w:tcPr>
            <w:tcW w:w="597" w:type="pct"/>
            <w:tcBorders>
              <w:top w:val="nil"/>
              <w:bottom w:val="nil"/>
            </w:tcBorders>
          </w:tcPr>
          <w:p w14:paraId="47F2EEB1" w14:textId="77777777" w:rsidR="00E86630" w:rsidRPr="009473D0" w:rsidRDefault="00E86630" w:rsidP="00293EC1">
            <w:pPr>
              <w:cnfStyle w:val="000000000000" w:firstRow="0" w:lastRow="0" w:firstColumn="0" w:lastColumn="0" w:oddVBand="0" w:evenVBand="0" w:oddHBand="0" w:evenHBand="0" w:firstRowFirstColumn="0" w:firstRowLastColumn="0" w:lastRowFirstColumn="0" w:lastRowLastColumn="0"/>
              <w:rPr>
                <w:sz w:val="20"/>
                <w:szCs w:val="20"/>
              </w:rPr>
            </w:pPr>
            <w:r w:rsidRPr="009473D0">
              <w:rPr>
                <w:rFonts w:ascii="Calibri" w:hAnsi="Calibri" w:cs="Calibri"/>
                <w:color w:val="000000"/>
                <w:sz w:val="20"/>
                <w:szCs w:val="20"/>
              </w:rPr>
              <w:t>8.6</w:t>
            </w:r>
          </w:p>
        </w:tc>
        <w:tc>
          <w:tcPr>
            <w:tcW w:w="596" w:type="pct"/>
            <w:tcBorders>
              <w:top w:val="nil"/>
              <w:bottom w:val="nil"/>
            </w:tcBorders>
          </w:tcPr>
          <w:p w14:paraId="4DBBDE75" w14:textId="77777777" w:rsidR="00E86630" w:rsidRPr="009473D0" w:rsidRDefault="00E86630" w:rsidP="00293EC1">
            <w:pPr>
              <w:cnfStyle w:val="000000000000" w:firstRow="0" w:lastRow="0" w:firstColumn="0" w:lastColumn="0" w:oddVBand="0" w:evenVBand="0" w:oddHBand="0" w:evenHBand="0" w:firstRowFirstColumn="0" w:firstRowLastColumn="0" w:lastRowFirstColumn="0" w:lastRowLastColumn="0"/>
              <w:rPr>
                <w:sz w:val="20"/>
                <w:szCs w:val="20"/>
              </w:rPr>
            </w:pPr>
            <w:r w:rsidRPr="009473D0">
              <w:rPr>
                <w:rFonts w:ascii="Calibri" w:hAnsi="Calibri" w:cs="Calibri"/>
                <w:color w:val="000000"/>
                <w:sz w:val="20"/>
                <w:szCs w:val="20"/>
              </w:rPr>
              <w:t>0</w:t>
            </w:r>
          </w:p>
        </w:tc>
        <w:tc>
          <w:tcPr>
            <w:tcW w:w="548" w:type="pct"/>
            <w:tcBorders>
              <w:top w:val="nil"/>
              <w:bottom w:val="nil"/>
            </w:tcBorders>
          </w:tcPr>
          <w:p w14:paraId="3B520665" w14:textId="77777777" w:rsidR="00E86630" w:rsidRPr="009473D0" w:rsidRDefault="00E86630" w:rsidP="00293EC1">
            <w:pPr>
              <w:cnfStyle w:val="000000000000" w:firstRow="0" w:lastRow="0" w:firstColumn="0" w:lastColumn="0" w:oddVBand="0" w:evenVBand="0" w:oddHBand="0" w:evenHBand="0" w:firstRowFirstColumn="0" w:firstRowLastColumn="0" w:lastRowFirstColumn="0" w:lastRowLastColumn="0"/>
              <w:rPr>
                <w:sz w:val="20"/>
                <w:szCs w:val="20"/>
              </w:rPr>
            </w:pPr>
            <w:r w:rsidRPr="009473D0">
              <w:rPr>
                <w:rFonts w:ascii="Calibri" w:hAnsi="Calibri" w:cs="Calibri"/>
                <w:color w:val="000000"/>
                <w:sz w:val="20"/>
                <w:szCs w:val="20"/>
              </w:rPr>
              <w:t>0</w:t>
            </w:r>
          </w:p>
        </w:tc>
      </w:tr>
      <w:tr w:rsidR="00E86630" w:rsidRPr="009473D0" w14:paraId="6B95E348" w14:textId="77777777" w:rsidTr="00293EC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780" w:type="pct"/>
            <w:tcBorders>
              <w:top w:val="nil"/>
              <w:bottom w:val="nil"/>
            </w:tcBorders>
          </w:tcPr>
          <w:p w14:paraId="37E750D0" w14:textId="77777777" w:rsidR="00E86630" w:rsidRPr="009473D0" w:rsidRDefault="00E86630" w:rsidP="00293EC1">
            <w:pPr>
              <w:rPr>
                <w:b w:val="0"/>
                <w:bCs w:val="0"/>
                <w:sz w:val="20"/>
                <w:szCs w:val="20"/>
              </w:rPr>
            </w:pPr>
            <w:r w:rsidRPr="009473D0">
              <w:rPr>
                <w:b w:val="0"/>
                <w:bCs w:val="0"/>
                <w:sz w:val="20"/>
                <w:szCs w:val="20"/>
              </w:rPr>
              <w:t>Aromatic (110-145 ppm)</w:t>
            </w:r>
          </w:p>
        </w:tc>
        <w:tc>
          <w:tcPr>
            <w:tcW w:w="1103" w:type="pct"/>
            <w:tcBorders>
              <w:top w:val="nil"/>
              <w:bottom w:val="nil"/>
            </w:tcBorders>
          </w:tcPr>
          <w:p w14:paraId="4014000C" w14:textId="77777777" w:rsidR="00E86630" w:rsidRPr="009473D0" w:rsidRDefault="00E86630" w:rsidP="00293EC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9473D0">
              <w:rPr>
                <w:sz w:val="20"/>
                <w:szCs w:val="20"/>
              </w:rPr>
              <w:t>Aromatic hydrocarbon</w:t>
            </w:r>
          </w:p>
        </w:tc>
        <w:tc>
          <w:tcPr>
            <w:tcW w:w="551" w:type="pct"/>
            <w:tcBorders>
              <w:top w:val="nil"/>
              <w:bottom w:val="nil"/>
            </w:tcBorders>
          </w:tcPr>
          <w:p w14:paraId="5A52A6F2" w14:textId="77777777" w:rsidR="00E86630" w:rsidRPr="009473D0" w:rsidRDefault="00E86630" w:rsidP="00293EC1">
            <w:pPr>
              <w:cnfStyle w:val="000000100000" w:firstRow="0" w:lastRow="0" w:firstColumn="0" w:lastColumn="0" w:oddVBand="0" w:evenVBand="0" w:oddHBand="1" w:evenHBand="0" w:firstRowFirstColumn="0" w:firstRowLastColumn="0" w:lastRowFirstColumn="0" w:lastRowLastColumn="0"/>
              <w:rPr>
                <w:sz w:val="20"/>
                <w:szCs w:val="20"/>
              </w:rPr>
            </w:pPr>
            <w:r w:rsidRPr="009473D0">
              <w:rPr>
                <w:rFonts w:ascii="Calibri" w:hAnsi="Calibri" w:cs="Calibri"/>
                <w:color w:val="000000"/>
                <w:sz w:val="20"/>
                <w:szCs w:val="20"/>
              </w:rPr>
              <w:t>1</w:t>
            </w:r>
          </w:p>
        </w:tc>
        <w:tc>
          <w:tcPr>
            <w:tcW w:w="826" w:type="pct"/>
            <w:tcBorders>
              <w:top w:val="nil"/>
              <w:bottom w:val="nil"/>
            </w:tcBorders>
          </w:tcPr>
          <w:p w14:paraId="2FDB82E8" w14:textId="77777777" w:rsidR="00E86630" w:rsidRPr="009473D0" w:rsidRDefault="00E86630" w:rsidP="00293EC1">
            <w:pPr>
              <w:cnfStyle w:val="000000100000" w:firstRow="0" w:lastRow="0" w:firstColumn="0" w:lastColumn="0" w:oddVBand="0" w:evenVBand="0" w:oddHBand="1" w:evenHBand="0" w:firstRowFirstColumn="0" w:firstRowLastColumn="0" w:lastRowFirstColumn="0" w:lastRowLastColumn="0"/>
              <w:rPr>
                <w:sz w:val="20"/>
                <w:szCs w:val="20"/>
              </w:rPr>
            </w:pPr>
            <w:r w:rsidRPr="009473D0">
              <w:rPr>
                <w:rFonts w:ascii="Calibri" w:hAnsi="Calibri" w:cs="Calibri"/>
                <w:color w:val="000000"/>
                <w:sz w:val="20"/>
                <w:szCs w:val="20"/>
              </w:rPr>
              <w:t>7.5</w:t>
            </w:r>
          </w:p>
        </w:tc>
        <w:tc>
          <w:tcPr>
            <w:tcW w:w="597" w:type="pct"/>
            <w:tcBorders>
              <w:top w:val="nil"/>
              <w:bottom w:val="nil"/>
            </w:tcBorders>
          </w:tcPr>
          <w:p w14:paraId="1339D4D4" w14:textId="77777777" w:rsidR="00E86630" w:rsidRPr="009473D0" w:rsidRDefault="00E86630" w:rsidP="00293EC1">
            <w:pPr>
              <w:cnfStyle w:val="000000100000" w:firstRow="0" w:lastRow="0" w:firstColumn="0" w:lastColumn="0" w:oddVBand="0" w:evenVBand="0" w:oddHBand="1" w:evenHBand="0" w:firstRowFirstColumn="0" w:firstRowLastColumn="0" w:lastRowFirstColumn="0" w:lastRowLastColumn="0"/>
              <w:rPr>
                <w:sz w:val="20"/>
                <w:szCs w:val="20"/>
              </w:rPr>
            </w:pPr>
            <w:r w:rsidRPr="009473D0">
              <w:rPr>
                <w:rFonts w:ascii="Calibri" w:hAnsi="Calibri" w:cs="Calibri"/>
                <w:color w:val="000000"/>
                <w:sz w:val="20"/>
                <w:szCs w:val="20"/>
              </w:rPr>
              <w:t>30.6</w:t>
            </w:r>
          </w:p>
        </w:tc>
        <w:tc>
          <w:tcPr>
            <w:tcW w:w="596" w:type="pct"/>
            <w:tcBorders>
              <w:top w:val="nil"/>
              <w:bottom w:val="nil"/>
            </w:tcBorders>
          </w:tcPr>
          <w:p w14:paraId="2CA674A0" w14:textId="77777777" w:rsidR="00E86630" w:rsidRPr="009473D0" w:rsidRDefault="00E86630" w:rsidP="00293EC1">
            <w:pPr>
              <w:cnfStyle w:val="000000100000" w:firstRow="0" w:lastRow="0" w:firstColumn="0" w:lastColumn="0" w:oddVBand="0" w:evenVBand="0" w:oddHBand="1" w:evenHBand="0" w:firstRowFirstColumn="0" w:firstRowLastColumn="0" w:lastRowFirstColumn="0" w:lastRowLastColumn="0"/>
              <w:rPr>
                <w:sz w:val="20"/>
                <w:szCs w:val="20"/>
              </w:rPr>
            </w:pPr>
            <w:r w:rsidRPr="009473D0">
              <w:rPr>
                <w:rFonts w:ascii="Calibri" w:hAnsi="Calibri" w:cs="Calibri"/>
                <w:color w:val="000000"/>
                <w:sz w:val="20"/>
                <w:szCs w:val="20"/>
              </w:rPr>
              <w:t>3.6</w:t>
            </w:r>
          </w:p>
        </w:tc>
        <w:tc>
          <w:tcPr>
            <w:tcW w:w="548" w:type="pct"/>
            <w:tcBorders>
              <w:top w:val="nil"/>
              <w:bottom w:val="nil"/>
            </w:tcBorders>
          </w:tcPr>
          <w:p w14:paraId="08D4ED07" w14:textId="77777777" w:rsidR="00E86630" w:rsidRPr="009473D0" w:rsidRDefault="00E86630" w:rsidP="00293EC1">
            <w:pPr>
              <w:cnfStyle w:val="000000100000" w:firstRow="0" w:lastRow="0" w:firstColumn="0" w:lastColumn="0" w:oddVBand="0" w:evenVBand="0" w:oddHBand="1" w:evenHBand="0" w:firstRowFirstColumn="0" w:firstRowLastColumn="0" w:lastRowFirstColumn="0" w:lastRowLastColumn="0"/>
              <w:rPr>
                <w:sz w:val="20"/>
                <w:szCs w:val="20"/>
              </w:rPr>
            </w:pPr>
            <w:r w:rsidRPr="009473D0">
              <w:rPr>
                <w:rFonts w:ascii="Calibri" w:hAnsi="Calibri" w:cs="Calibri"/>
                <w:color w:val="000000"/>
                <w:sz w:val="20"/>
                <w:szCs w:val="20"/>
              </w:rPr>
              <w:t>0</w:t>
            </w:r>
          </w:p>
        </w:tc>
      </w:tr>
      <w:tr w:rsidR="00E86630" w:rsidRPr="009473D0" w14:paraId="67F72D3F" w14:textId="77777777" w:rsidTr="00293EC1">
        <w:trPr>
          <w:trHeight w:val="269"/>
        </w:trPr>
        <w:tc>
          <w:tcPr>
            <w:cnfStyle w:val="001000000000" w:firstRow="0" w:lastRow="0" w:firstColumn="1" w:lastColumn="0" w:oddVBand="0" w:evenVBand="0" w:oddHBand="0" w:evenHBand="0" w:firstRowFirstColumn="0" w:firstRowLastColumn="0" w:lastRowFirstColumn="0" w:lastRowLastColumn="0"/>
            <w:tcW w:w="780" w:type="pct"/>
            <w:tcBorders>
              <w:top w:val="nil"/>
              <w:bottom w:val="nil"/>
            </w:tcBorders>
          </w:tcPr>
          <w:p w14:paraId="703D34C5" w14:textId="77777777" w:rsidR="00E86630" w:rsidRPr="009473D0" w:rsidRDefault="00E86630" w:rsidP="00293EC1">
            <w:pPr>
              <w:rPr>
                <w:b w:val="0"/>
                <w:bCs w:val="0"/>
                <w:sz w:val="20"/>
                <w:szCs w:val="20"/>
              </w:rPr>
            </w:pPr>
            <w:r w:rsidRPr="009473D0">
              <w:rPr>
                <w:b w:val="0"/>
                <w:bCs w:val="0"/>
                <w:sz w:val="20"/>
                <w:szCs w:val="20"/>
              </w:rPr>
              <w:lastRenderedPageBreak/>
              <w:t>Phenolic (145-165 ppm)</w:t>
            </w:r>
          </w:p>
        </w:tc>
        <w:tc>
          <w:tcPr>
            <w:tcW w:w="1103" w:type="pct"/>
            <w:tcBorders>
              <w:top w:val="nil"/>
              <w:bottom w:val="nil"/>
            </w:tcBorders>
          </w:tcPr>
          <w:p w14:paraId="771E4DE4" w14:textId="77777777" w:rsidR="00E86630" w:rsidRPr="009473D0" w:rsidRDefault="00E86630" w:rsidP="00293EC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9473D0">
              <w:rPr>
                <w:sz w:val="20"/>
                <w:szCs w:val="20"/>
              </w:rPr>
              <w:t>phenyl-propylene subunits of lignins</w:t>
            </w:r>
          </w:p>
        </w:tc>
        <w:tc>
          <w:tcPr>
            <w:tcW w:w="551" w:type="pct"/>
            <w:tcBorders>
              <w:top w:val="nil"/>
              <w:bottom w:val="nil"/>
            </w:tcBorders>
          </w:tcPr>
          <w:p w14:paraId="609F2C6C" w14:textId="77777777" w:rsidR="00E86630" w:rsidRPr="009473D0" w:rsidRDefault="00E86630" w:rsidP="00293EC1">
            <w:pPr>
              <w:cnfStyle w:val="000000000000" w:firstRow="0" w:lastRow="0" w:firstColumn="0" w:lastColumn="0" w:oddVBand="0" w:evenVBand="0" w:oddHBand="0" w:evenHBand="0" w:firstRowFirstColumn="0" w:firstRowLastColumn="0" w:lastRowFirstColumn="0" w:lastRowLastColumn="0"/>
              <w:rPr>
                <w:sz w:val="20"/>
                <w:szCs w:val="20"/>
              </w:rPr>
            </w:pPr>
            <w:r w:rsidRPr="009473D0">
              <w:rPr>
                <w:rFonts w:ascii="Calibri" w:hAnsi="Calibri" w:cs="Calibri"/>
                <w:color w:val="000000"/>
                <w:sz w:val="20"/>
                <w:szCs w:val="20"/>
              </w:rPr>
              <w:t>0</w:t>
            </w:r>
          </w:p>
        </w:tc>
        <w:tc>
          <w:tcPr>
            <w:tcW w:w="826" w:type="pct"/>
            <w:tcBorders>
              <w:top w:val="nil"/>
              <w:bottom w:val="nil"/>
            </w:tcBorders>
          </w:tcPr>
          <w:p w14:paraId="55780A2B" w14:textId="77777777" w:rsidR="00E86630" w:rsidRPr="009473D0" w:rsidRDefault="00E86630" w:rsidP="00293EC1">
            <w:pPr>
              <w:cnfStyle w:val="000000000000" w:firstRow="0" w:lastRow="0" w:firstColumn="0" w:lastColumn="0" w:oddVBand="0" w:evenVBand="0" w:oddHBand="0" w:evenHBand="0" w:firstRowFirstColumn="0" w:firstRowLastColumn="0" w:lastRowFirstColumn="0" w:lastRowLastColumn="0"/>
              <w:rPr>
                <w:sz w:val="20"/>
                <w:szCs w:val="20"/>
              </w:rPr>
            </w:pPr>
            <w:r w:rsidRPr="009473D0">
              <w:rPr>
                <w:rFonts w:ascii="Calibri" w:hAnsi="Calibri" w:cs="Calibri"/>
                <w:color w:val="000000"/>
                <w:sz w:val="20"/>
                <w:szCs w:val="20"/>
              </w:rPr>
              <w:t>2.5</w:t>
            </w:r>
          </w:p>
        </w:tc>
        <w:tc>
          <w:tcPr>
            <w:tcW w:w="597" w:type="pct"/>
            <w:tcBorders>
              <w:top w:val="nil"/>
              <w:bottom w:val="nil"/>
            </w:tcBorders>
          </w:tcPr>
          <w:p w14:paraId="792AF2C7" w14:textId="77777777" w:rsidR="00E86630" w:rsidRPr="009473D0" w:rsidRDefault="00E86630" w:rsidP="00293EC1">
            <w:pPr>
              <w:cnfStyle w:val="000000000000" w:firstRow="0" w:lastRow="0" w:firstColumn="0" w:lastColumn="0" w:oddVBand="0" w:evenVBand="0" w:oddHBand="0" w:evenHBand="0" w:firstRowFirstColumn="0" w:firstRowLastColumn="0" w:lastRowFirstColumn="0" w:lastRowLastColumn="0"/>
              <w:rPr>
                <w:sz w:val="20"/>
                <w:szCs w:val="20"/>
              </w:rPr>
            </w:pPr>
            <w:r w:rsidRPr="009473D0">
              <w:rPr>
                <w:rFonts w:ascii="Calibri" w:hAnsi="Calibri" w:cs="Calibri"/>
                <w:color w:val="000000"/>
                <w:sz w:val="20"/>
                <w:szCs w:val="20"/>
              </w:rPr>
              <w:t>19.5</w:t>
            </w:r>
          </w:p>
        </w:tc>
        <w:tc>
          <w:tcPr>
            <w:tcW w:w="596" w:type="pct"/>
            <w:tcBorders>
              <w:top w:val="nil"/>
              <w:bottom w:val="nil"/>
            </w:tcBorders>
          </w:tcPr>
          <w:p w14:paraId="7FB0B05A" w14:textId="77777777" w:rsidR="00E86630" w:rsidRPr="009473D0" w:rsidRDefault="00E86630" w:rsidP="00293EC1">
            <w:pPr>
              <w:cnfStyle w:val="000000000000" w:firstRow="0" w:lastRow="0" w:firstColumn="0" w:lastColumn="0" w:oddVBand="0" w:evenVBand="0" w:oddHBand="0" w:evenHBand="0" w:firstRowFirstColumn="0" w:firstRowLastColumn="0" w:lastRowFirstColumn="0" w:lastRowLastColumn="0"/>
              <w:rPr>
                <w:sz w:val="20"/>
                <w:szCs w:val="20"/>
              </w:rPr>
            </w:pPr>
            <w:r w:rsidRPr="009473D0">
              <w:rPr>
                <w:rFonts w:ascii="Calibri" w:hAnsi="Calibri" w:cs="Calibri"/>
                <w:color w:val="000000"/>
                <w:sz w:val="20"/>
                <w:szCs w:val="20"/>
              </w:rPr>
              <w:t>0.7</w:t>
            </w:r>
          </w:p>
        </w:tc>
        <w:tc>
          <w:tcPr>
            <w:tcW w:w="548" w:type="pct"/>
            <w:tcBorders>
              <w:top w:val="nil"/>
              <w:bottom w:val="nil"/>
            </w:tcBorders>
          </w:tcPr>
          <w:p w14:paraId="386A7AD6" w14:textId="77777777" w:rsidR="00E86630" w:rsidRPr="009473D0" w:rsidRDefault="00E86630" w:rsidP="00293EC1">
            <w:pPr>
              <w:cnfStyle w:val="000000000000" w:firstRow="0" w:lastRow="0" w:firstColumn="0" w:lastColumn="0" w:oddVBand="0" w:evenVBand="0" w:oddHBand="0" w:evenHBand="0" w:firstRowFirstColumn="0" w:firstRowLastColumn="0" w:lastRowFirstColumn="0" w:lastRowLastColumn="0"/>
              <w:rPr>
                <w:sz w:val="20"/>
                <w:szCs w:val="20"/>
              </w:rPr>
            </w:pPr>
            <w:r w:rsidRPr="009473D0">
              <w:rPr>
                <w:rFonts w:ascii="Calibri" w:hAnsi="Calibri" w:cs="Calibri"/>
                <w:color w:val="000000"/>
                <w:sz w:val="20"/>
                <w:szCs w:val="20"/>
              </w:rPr>
              <w:t>0</w:t>
            </w:r>
          </w:p>
        </w:tc>
      </w:tr>
      <w:tr w:rsidR="00E86630" w:rsidRPr="009473D0" w14:paraId="31BD8639" w14:textId="77777777" w:rsidTr="00293EC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780" w:type="pct"/>
            <w:tcBorders>
              <w:top w:val="nil"/>
              <w:bottom w:val="single" w:sz="4" w:space="0" w:color="auto"/>
            </w:tcBorders>
          </w:tcPr>
          <w:p w14:paraId="108FAAFF" w14:textId="77777777" w:rsidR="00E86630" w:rsidRPr="009473D0" w:rsidRDefault="00E86630" w:rsidP="00293EC1">
            <w:pPr>
              <w:rPr>
                <w:b w:val="0"/>
                <w:bCs w:val="0"/>
                <w:sz w:val="20"/>
                <w:szCs w:val="20"/>
              </w:rPr>
            </w:pPr>
            <w:r w:rsidRPr="009473D0">
              <w:rPr>
                <w:b w:val="0"/>
                <w:bCs w:val="0"/>
                <w:sz w:val="20"/>
                <w:szCs w:val="20"/>
              </w:rPr>
              <w:t>Carbonyl (165-210 ppm)</w:t>
            </w:r>
          </w:p>
        </w:tc>
        <w:tc>
          <w:tcPr>
            <w:tcW w:w="1103" w:type="pct"/>
            <w:tcBorders>
              <w:top w:val="nil"/>
              <w:bottom w:val="single" w:sz="4" w:space="0" w:color="auto"/>
            </w:tcBorders>
          </w:tcPr>
          <w:p w14:paraId="729FBBB2" w14:textId="77777777" w:rsidR="00E86630" w:rsidRPr="009473D0" w:rsidRDefault="00E86630" w:rsidP="00293EC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9473D0">
              <w:rPr>
                <w:sz w:val="20"/>
                <w:szCs w:val="20"/>
              </w:rPr>
              <w:t>organic acids and peptides</w:t>
            </w:r>
          </w:p>
        </w:tc>
        <w:tc>
          <w:tcPr>
            <w:tcW w:w="551" w:type="pct"/>
            <w:tcBorders>
              <w:top w:val="nil"/>
              <w:bottom w:val="single" w:sz="4" w:space="0" w:color="auto"/>
            </w:tcBorders>
          </w:tcPr>
          <w:p w14:paraId="74F08B4E" w14:textId="77777777" w:rsidR="00E86630" w:rsidRPr="009473D0" w:rsidRDefault="00E86630" w:rsidP="00293EC1">
            <w:pPr>
              <w:cnfStyle w:val="000000100000" w:firstRow="0" w:lastRow="0" w:firstColumn="0" w:lastColumn="0" w:oddVBand="0" w:evenVBand="0" w:oddHBand="1" w:evenHBand="0" w:firstRowFirstColumn="0" w:firstRowLastColumn="0" w:lastRowFirstColumn="0" w:lastRowLastColumn="0"/>
              <w:rPr>
                <w:sz w:val="20"/>
                <w:szCs w:val="20"/>
              </w:rPr>
            </w:pPr>
            <w:r w:rsidRPr="009473D0">
              <w:rPr>
                <w:rFonts w:ascii="Calibri" w:hAnsi="Calibri" w:cs="Calibri"/>
                <w:color w:val="000000"/>
                <w:sz w:val="20"/>
                <w:szCs w:val="20"/>
              </w:rPr>
              <w:t>0</w:t>
            </w:r>
          </w:p>
        </w:tc>
        <w:tc>
          <w:tcPr>
            <w:tcW w:w="826" w:type="pct"/>
            <w:tcBorders>
              <w:top w:val="nil"/>
              <w:bottom w:val="single" w:sz="4" w:space="0" w:color="auto"/>
            </w:tcBorders>
          </w:tcPr>
          <w:p w14:paraId="4B1D220D" w14:textId="77777777" w:rsidR="00E86630" w:rsidRPr="009473D0" w:rsidRDefault="00E86630" w:rsidP="00293EC1">
            <w:pPr>
              <w:cnfStyle w:val="000000100000" w:firstRow="0" w:lastRow="0" w:firstColumn="0" w:lastColumn="0" w:oddVBand="0" w:evenVBand="0" w:oddHBand="1" w:evenHBand="0" w:firstRowFirstColumn="0" w:firstRowLastColumn="0" w:lastRowFirstColumn="0" w:lastRowLastColumn="0"/>
              <w:rPr>
                <w:sz w:val="20"/>
                <w:szCs w:val="20"/>
              </w:rPr>
            </w:pPr>
            <w:r w:rsidRPr="009473D0">
              <w:rPr>
                <w:rFonts w:ascii="Calibri" w:hAnsi="Calibri" w:cs="Calibri"/>
                <w:color w:val="000000"/>
                <w:sz w:val="20"/>
                <w:szCs w:val="20"/>
              </w:rPr>
              <w:t>26.4</w:t>
            </w:r>
          </w:p>
        </w:tc>
        <w:tc>
          <w:tcPr>
            <w:tcW w:w="597" w:type="pct"/>
            <w:tcBorders>
              <w:top w:val="nil"/>
              <w:bottom w:val="single" w:sz="4" w:space="0" w:color="auto"/>
            </w:tcBorders>
          </w:tcPr>
          <w:p w14:paraId="37B02A29" w14:textId="77777777" w:rsidR="00E86630" w:rsidRPr="009473D0" w:rsidRDefault="00E86630" w:rsidP="00293EC1">
            <w:pPr>
              <w:cnfStyle w:val="000000100000" w:firstRow="0" w:lastRow="0" w:firstColumn="0" w:lastColumn="0" w:oddVBand="0" w:evenVBand="0" w:oddHBand="1" w:evenHBand="0" w:firstRowFirstColumn="0" w:firstRowLastColumn="0" w:lastRowFirstColumn="0" w:lastRowLastColumn="0"/>
              <w:rPr>
                <w:sz w:val="20"/>
                <w:szCs w:val="20"/>
              </w:rPr>
            </w:pPr>
            <w:r w:rsidRPr="009473D0">
              <w:rPr>
                <w:rFonts w:ascii="Calibri" w:hAnsi="Calibri" w:cs="Calibri"/>
                <w:color w:val="000000"/>
                <w:sz w:val="20"/>
                <w:szCs w:val="20"/>
              </w:rPr>
              <w:t>4.6</w:t>
            </w:r>
          </w:p>
        </w:tc>
        <w:tc>
          <w:tcPr>
            <w:tcW w:w="596" w:type="pct"/>
            <w:tcBorders>
              <w:top w:val="nil"/>
              <w:bottom w:val="single" w:sz="4" w:space="0" w:color="auto"/>
            </w:tcBorders>
          </w:tcPr>
          <w:p w14:paraId="7C4E2DC6" w14:textId="77777777" w:rsidR="00E86630" w:rsidRPr="009473D0" w:rsidRDefault="00E86630" w:rsidP="00293EC1">
            <w:pPr>
              <w:cnfStyle w:val="000000100000" w:firstRow="0" w:lastRow="0" w:firstColumn="0" w:lastColumn="0" w:oddVBand="0" w:evenVBand="0" w:oddHBand="1" w:evenHBand="0" w:firstRowFirstColumn="0" w:firstRowLastColumn="0" w:lastRowFirstColumn="0" w:lastRowLastColumn="0"/>
              <w:rPr>
                <w:sz w:val="20"/>
                <w:szCs w:val="20"/>
              </w:rPr>
            </w:pPr>
            <w:r w:rsidRPr="009473D0">
              <w:rPr>
                <w:rFonts w:ascii="Calibri" w:hAnsi="Calibri" w:cs="Calibri"/>
                <w:color w:val="000000"/>
                <w:sz w:val="20"/>
                <w:szCs w:val="20"/>
              </w:rPr>
              <w:t>6.6</w:t>
            </w:r>
          </w:p>
        </w:tc>
        <w:tc>
          <w:tcPr>
            <w:tcW w:w="548" w:type="pct"/>
            <w:tcBorders>
              <w:top w:val="nil"/>
              <w:bottom w:val="single" w:sz="4" w:space="0" w:color="auto"/>
            </w:tcBorders>
          </w:tcPr>
          <w:p w14:paraId="5E3EFEB0" w14:textId="77777777" w:rsidR="00E86630" w:rsidRPr="009473D0" w:rsidRDefault="00E86630" w:rsidP="00293EC1">
            <w:pPr>
              <w:cnfStyle w:val="000000100000" w:firstRow="0" w:lastRow="0" w:firstColumn="0" w:lastColumn="0" w:oddVBand="0" w:evenVBand="0" w:oddHBand="1" w:evenHBand="0" w:firstRowFirstColumn="0" w:firstRowLastColumn="0" w:lastRowFirstColumn="0" w:lastRowLastColumn="0"/>
              <w:rPr>
                <w:sz w:val="20"/>
                <w:szCs w:val="20"/>
              </w:rPr>
            </w:pPr>
            <w:r w:rsidRPr="009473D0">
              <w:rPr>
                <w:rFonts w:ascii="Calibri" w:hAnsi="Calibri" w:cs="Calibri"/>
                <w:color w:val="000000"/>
                <w:sz w:val="20"/>
                <w:szCs w:val="20"/>
              </w:rPr>
              <w:t>100</w:t>
            </w:r>
          </w:p>
        </w:tc>
      </w:tr>
      <w:tr w:rsidR="00E86630" w:rsidRPr="009473D0" w14:paraId="4E6C3B30" w14:textId="77777777" w:rsidTr="00293EC1">
        <w:trPr>
          <w:trHeight w:val="283"/>
        </w:trPr>
        <w:tc>
          <w:tcPr>
            <w:cnfStyle w:val="001000000000" w:firstRow="0" w:lastRow="0" w:firstColumn="1" w:lastColumn="0" w:oddVBand="0" w:evenVBand="0" w:oddHBand="0" w:evenHBand="0" w:firstRowFirstColumn="0" w:firstRowLastColumn="0" w:lastRowFirstColumn="0" w:lastRowLastColumn="0"/>
            <w:tcW w:w="780" w:type="pct"/>
            <w:tcBorders>
              <w:top w:val="single" w:sz="4" w:space="0" w:color="auto"/>
              <w:bottom w:val="single" w:sz="4" w:space="0" w:color="auto"/>
            </w:tcBorders>
          </w:tcPr>
          <w:p w14:paraId="4ED2FBD8" w14:textId="77777777" w:rsidR="00E86630" w:rsidRPr="009473D0" w:rsidRDefault="00E86630" w:rsidP="00293EC1">
            <w:pPr>
              <w:rPr>
                <w:sz w:val="20"/>
                <w:szCs w:val="20"/>
              </w:rPr>
            </w:pPr>
            <w:r w:rsidRPr="009473D0">
              <w:rPr>
                <w:sz w:val="20"/>
                <w:szCs w:val="20"/>
              </w:rPr>
              <w:t>Elemental formula</w:t>
            </w:r>
          </w:p>
        </w:tc>
        <w:tc>
          <w:tcPr>
            <w:tcW w:w="1103" w:type="pct"/>
            <w:tcBorders>
              <w:top w:val="single" w:sz="4" w:space="0" w:color="auto"/>
              <w:bottom w:val="single" w:sz="4" w:space="0" w:color="auto"/>
            </w:tcBorders>
          </w:tcPr>
          <w:p w14:paraId="0F145DB8" w14:textId="77777777" w:rsidR="00E86630" w:rsidRPr="009473D0" w:rsidRDefault="00E86630" w:rsidP="00293EC1">
            <w:pPr>
              <w:cnfStyle w:val="000000000000" w:firstRow="0" w:lastRow="0" w:firstColumn="0" w:lastColumn="0" w:oddVBand="0" w:evenVBand="0" w:oddHBand="0" w:evenHBand="0" w:firstRowFirstColumn="0" w:firstRowLastColumn="0" w:lastRowFirstColumn="0" w:lastRowLastColumn="0"/>
              <w:rPr>
                <w:sz w:val="20"/>
                <w:szCs w:val="20"/>
              </w:rPr>
            </w:pPr>
          </w:p>
        </w:tc>
        <w:tc>
          <w:tcPr>
            <w:tcW w:w="551" w:type="pct"/>
            <w:tcBorders>
              <w:top w:val="single" w:sz="4" w:space="0" w:color="auto"/>
              <w:bottom w:val="single" w:sz="4" w:space="0" w:color="auto"/>
            </w:tcBorders>
          </w:tcPr>
          <w:p w14:paraId="1B5C23ED" w14:textId="77777777" w:rsidR="00E86630" w:rsidRPr="009473D0" w:rsidRDefault="00E86630" w:rsidP="00293EC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m:oMathPara>
              <m:oMath>
                <m:r>
                  <m:rPr>
                    <m:sty m:val="p"/>
                  </m:rPr>
                  <w:rPr>
                    <w:rFonts w:ascii="Cambria Math" w:hAnsi="Cambria Math"/>
                    <w:sz w:val="20"/>
                    <w:szCs w:val="20"/>
                  </w:rPr>
                  <m:t>C</m:t>
                </m:r>
                <m:sSub>
                  <m:sSubPr>
                    <m:ctrlPr>
                      <w:rPr>
                        <w:rFonts w:ascii="Cambria Math" w:hAnsi="Cambria Math"/>
                        <w:iCs/>
                        <w:sz w:val="20"/>
                        <w:szCs w:val="20"/>
                      </w:rPr>
                    </m:ctrlPr>
                  </m:sSubPr>
                  <m:e>
                    <m:r>
                      <m:rPr>
                        <m:sty m:val="p"/>
                      </m:rPr>
                      <w:rPr>
                        <w:rFonts w:ascii="Cambria Math" w:hAnsi="Cambria Math"/>
                        <w:sz w:val="20"/>
                        <w:szCs w:val="20"/>
                      </w:rPr>
                      <m:t>H</m:t>
                    </m:r>
                  </m:e>
                  <m:sub>
                    <m:r>
                      <m:rPr>
                        <m:sty m:val="p"/>
                      </m:rPr>
                      <w:rPr>
                        <w:rFonts w:ascii="Cambria Math" w:hAnsi="Cambria Math"/>
                        <w:sz w:val="20"/>
                        <w:szCs w:val="20"/>
                        <w:vertAlign w:val="subscript"/>
                      </w:rPr>
                      <m:t>1.67</m:t>
                    </m:r>
                  </m:sub>
                </m:sSub>
                <m:sSub>
                  <m:sSubPr>
                    <m:ctrlPr>
                      <w:rPr>
                        <w:rFonts w:ascii="Cambria Math" w:hAnsi="Cambria Math"/>
                        <w:iCs/>
                        <w:sz w:val="20"/>
                        <w:szCs w:val="20"/>
                      </w:rPr>
                    </m:ctrlPr>
                  </m:sSubPr>
                  <m:e>
                    <m:r>
                      <m:rPr>
                        <m:sty m:val="p"/>
                      </m:rPr>
                      <w:rPr>
                        <w:rFonts w:ascii="Cambria Math" w:hAnsi="Cambria Math"/>
                        <w:sz w:val="20"/>
                        <w:szCs w:val="20"/>
                      </w:rPr>
                      <m:t>O</m:t>
                    </m:r>
                  </m:e>
                  <m:sub>
                    <m:r>
                      <m:rPr>
                        <m:sty m:val="p"/>
                      </m:rPr>
                      <w:rPr>
                        <w:rFonts w:ascii="Cambria Math" w:hAnsi="Cambria Math"/>
                        <w:sz w:val="20"/>
                        <w:szCs w:val="20"/>
                        <w:vertAlign w:val="subscript"/>
                      </w:rPr>
                      <m:t>0.83</m:t>
                    </m:r>
                  </m:sub>
                </m:sSub>
              </m:oMath>
            </m:oMathPara>
          </w:p>
        </w:tc>
        <w:tc>
          <w:tcPr>
            <w:tcW w:w="826" w:type="pct"/>
            <w:tcBorders>
              <w:top w:val="single" w:sz="4" w:space="0" w:color="auto"/>
              <w:bottom w:val="single" w:sz="4" w:space="0" w:color="auto"/>
            </w:tcBorders>
          </w:tcPr>
          <w:p w14:paraId="38DB0AE6" w14:textId="77777777" w:rsidR="00E86630" w:rsidRPr="009473D0" w:rsidRDefault="00E86630" w:rsidP="00293EC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m:oMath>
              <m:r>
                <m:rPr>
                  <m:sty m:val="p"/>
                </m:rPr>
                <w:rPr>
                  <w:rFonts w:ascii="Cambria Math" w:hAnsi="Cambria Math"/>
                  <w:sz w:val="20"/>
                  <w:szCs w:val="20"/>
                </w:rPr>
                <m:t>C</m:t>
              </m:r>
              <m:sSub>
                <m:sSubPr>
                  <m:ctrlPr>
                    <w:rPr>
                      <w:rFonts w:ascii="Cambria Math" w:hAnsi="Cambria Math"/>
                      <w:iCs/>
                      <w:sz w:val="20"/>
                      <w:szCs w:val="20"/>
                    </w:rPr>
                  </m:ctrlPr>
                </m:sSubPr>
                <m:e>
                  <m:r>
                    <m:rPr>
                      <m:sty m:val="p"/>
                    </m:rPr>
                    <w:rPr>
                      <w:rFonts w:ascii="Cambria Math" w:hAnsi="Cambria Math"/>
                      <w:sz w:val="20"/>
                      <w:szCs w:val="20"/>
                    </w:rPr>
                    <m:t>H</m:t>
                  </m:r>
                </m:e>
                <m:sub>
                  <m:r>
                    <m:rPr>
                      <m:sty m:val="p"/>
                    </m:rPr>
                    <w:rPr>
                      <w:rFonts w:ascii="Cambria Math" w:hAnsi="Cambria Math"/>
                      <w:sz w:val="20"/>
                      <w:szCs w:val="20"/>
                    </w:rPr>
                    <m:t>1.1</m:t>
                  </m:r>
                </m:sub>
              </m:sSub>
              <m:sSub>
                <m:sSubPr>
                  <m:ctrlPr>
                    <w:rPr>
                      <w:rFonts w:ascii="Cambria Math" w:hAnsi="Cambria Math"/>
                      <w:iCs/>
                      <w:sz w:val="20"/>
                      <w:szCs w:val="20"/>
                    </w:rPr>
                  </m:ctrlPr>
                </m:sSubPr>
                <m:e>
                  <m:r>
                    <m:rPr>
                      <m:sty m:val="p"/>
                    </m:rPr>
                    <w:rPr>
                      <w:rFonts w:ascii="Cambria Math" w:hAnsi="Cambria Math"/>
                      <w:sz w:val="20"/>
                      <w:szCs w:val="20"/>
                    </w:rPr>
                    <m:t>N</m:t>
                  </m:r>
                </m:e>
                <m:sub>
                  <m:r>
                    <m:rPr>
                      <m:sty m:val="p"/>
                    </m:rPr>
                    <w:rPr>
                      <w:rFonts w:ascii="Cambria Math" w:hAnsi="Cambria Math"/>
                      <w:sz w:val="20"/>
                      <w:szCs w:val="20"/>
                    </w:rPr>
                    <m:t>0.27</m:t>
                  </m:r>
                </m:sub>
              </m:sSub>
              <m:sSub>
                <m:sSubPr>
                  <m:ctrlPr>
                    <w:rPr>
                      <w:rFonts w:ascii="Cambria Math" w:hAnsi="Cambria Math"/>
                      <w:iCs/>
                      <w:sz w:val="20"/>
                      <w:szCs w:val="20"/>
                    </w:rPr>
                  </m:ctrlPr>
                </m:sSubPr>
                <m:e>
                  <m:r>
                    <m:rPr>
                      <m:sty m:val="p"/>
                    </m:rPr>
                    <w:rPr>
                      <w:rFonts w:ascii="Cambria Math" w:hAnsi="Cambria Math"/>
                      <w:sz w:val="20"/>
                      <w:szCs w:val="20"/>
                    </w:rPr>
                    <m:t>O</m:t>
                  </m:r>
                </m:e>
                <m:sub>
                  <m:r>
                    <m:rPr>
                      <m:sty m:val="p"/>
                    </m:rPr>
                    <w:rPr>
                      <w:rFonts w:ascii="Cambria Math" w:hAnsi="Cambria Math"/>
                      <w:sz w:val="20"/>
                      <w:szCs w:val="20"/>
                    </w:rPr>
                    <m:t>0.16</m:t>
                  </m:r>
                </m:sub>
              </m:sSub>
            </m:oMath>
            <w:r w:rsidRPr="009473D0">
              <w:rPr>
                <w:rFonts w:eastAsiaTheme="minorEastAsia"/>
                <w:iCs/>
                <w:sz w:val="20"/>
                <w:szCs w:val="20"/>
              </w:rPr>
              <w:t xml:space="preserve"> </w:t>
            </w:r>
          </w:p>
        </w:tc>
        <w:tc>
          <w:tcPr>
            <w:tcW w:w="597" w:type="pct"/>
            <w:tcBorders>
              <w:top w:val="single" w:sz="4" w:space="0" w:color="auto"/>
              <w:bottom w:val="single" w:sz="4" w:space="0" w:color="auto"/>
            </w:tcBorders>
          </w:tcPr>
          <w:p w14:paraId="463DDE30" w14:textId="77777777" w:rsidR="00E86630" w:rsidRPr="009473D0" w:rsidRDefault="00E86630" w:rsidP="00293EC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m:oMath>
              <m:r>
                <m:rPr>
                  <m:sty m:val="p"/>
                </m:rPr>
                <w:rPr>
                  <w:rFonts w:ascii="Cambria Math" w:hAnsi="Cambria Math"/>
                  <w:sz w:val="20"/>
                  <w:szCs w:val="20"/>
                </w:rPr>
                <m:t>C</m:t>
              </m:r>
              <m:sSub>
                <m:sSubPr>
                  <m:ctrlPr>
                    <w:rPr>
                      <w:rFonts w:ascii="Cambria Math" w:hAnsi="Cambria Math"/>
                      <w:iCs/>
                      <w:sz w:val="20"/>
                      <w:szCs w:val="20"/>
                    </w:rPr>
                  </m:ctrlPr>
                </m:sSubPr>
                <m:e>
                  <m:r>
                    <m:rPr>
                      <m:sty m:val="p"/>
                    </m:rPr>
                    <w:rPr>
                      <w:rFonts w:ascii="Cambria Math" w:hAnsi="Cambria Math"/>
                      <w:sz w:val="20"/>
                      <w:szCs w:val="20"/>
                    </w:rPr>
                    <m:t>H</m:t>
                  </m:r>
                </m:e>
                <m:sub>
                  <m:r>
                    <m:rPr>
                      <m:sty m:val="p"/>
                    </m:rPr>
                    <w:rPr>
                      <w:rFonts w:ascii="Cambria Math" w:hAnsi="Cambria Math"/>
                      <w:sz w:val="20"/>
                      <w:szCs w:val="20"/>
                    </w:rPr>
                    <m:t>1.24</m:t>
                  </m:r>
                </m:sub>
              </m:sSub>
              <m:sSub>
                <m:sSubPr>
                  <m:ctrlPr>
                    <w:rPr>
                      <w:rFonts w:ascii="Cambria Math" w:hAnsi="Cambria Math"/>
                      <w:iCs/>
                      <w:sz w:val="20"/>
                      <w:szCs w:val="20"/>
                    </w:rPr>
                  </m:ctrlPr>
                </m:sSubPr>
                <m:e>
                  <m:r>
                    <m:rPr>
                      <m:sty m:val="p"/>
                    </m:rPr>
                    <w:rPr>
                      <w:rFonts w:ascii="Cambria Math" w:hAnsi="Cambria Math"/>
                      <w:sz w:val="20"/>
                      <w:szCs w:val="20"/>
                    </w:rPr>
                    <m:t>O</m:t>
                  </m:r>
                </m:e>
                <m:sub>
                  <m:r>
                    <m:rPr>
                      <m:sty m:val="p"/>
                    </m:rPr>
                    <w:rPr>
                      <w:rFonts w:ascii="Cambria Math" w:hAnsi="Cambria Math"/>
                      <w:sz w:val="20"/>
                      <w:szCs w:val="20"/>
                    </w:rPr>
                    <m:t>0.43</m:t>
                  </m:r>
                </m:sub>
              </m:sSub>
            </m:oMath>
            <w:r w:rsidRPr="009473D0">
              <w:rPr>
                <w:rFonts w:eastAsiaTheme="minorEastAsia"/>
                <w:iCs/>
                <w:sz w:val="20"/>
                <w:szCs w:val="20"/>
              </w:rPr>
              <w:t xml:space="preserve"> </w:t>
            </w:r>
          </w:p>
        </w:tc>
        <w:tc>
          <w:tcPr>
            <w:tcW w:w="596" w:type="pct"/>
            <w:tcBorders>
              <w:top w:val="single" w:sz="4" w:space="0" w:color="auto"/>
              <w:bottom w:val="single" w:sz="4" w:space="0" w:color="auto"/>
            </w:tcBorders>
          </w:tcPr>
          <w:p w14:paraId="4E81BFF6" w14:textId="77777777" w:rsidR="00E86630" w:rsidRPr="009473D0" w:rsidRDefault="00E86630" w:rsidP="00293EC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m:oMath>
              <m:r>
                <m:rPr>
                  <m:sty m:val="p"/>
                </m:rPr>
                <w:rPr>
                  <w:rFonts w:ascii="Cambria Math" w:hAnsi="Cambria Math"/>
                  <w:sz w:val="20"/>
                  <w:szCs w:val="20"/>
                </w:rPr>
                <m:t>C</m:t>
              </m:r>
              <m:sSub>
                <m:sSubPr>
                  <m:ctrlPr>
                    <w:rPr>
                      <w:rFonts w:ascii="Cambria Math" w:hAnsi="Cambria Math"/>
                      <w:iCs/>
                      <w:sz w:val="20"/>
                      <w:szCs w:val="20"/>
                    </w:rPr>
                  </m:ctrlPr>
                </m:sSubPr>
                <m:e>
                  <m:r>
                    <m:rPr>
                      <m:sty m:val="p"/>
                    </m:rPr>
                    <w:rPr>
                      <w:rFonts w:ascii="Cambria Math" w:hAnsi="Cambria Math"/>
                      <w:sz w:val="20"/>
                      <w:szCs w:val="20"/>
                    </w:rPr>
                    <m:t>H</m:t>
                  </m:r>
                </m:e>
                <m:sub>
                  <m:r>
                    <m:rPr>
                      <m:sty m:val="p"/>
                    </m:rPr>
                    <w:rPr>
                      <w:rFonts w:ascii="Cambria Math" w:hAnsi="Cambria Math"/>
                      <w:sz w:val="20"/>
                      <w:szCs w:val="20"/>
                    </w:rPr>
                    <m:t>1.24</m:t>
                  </m:r>
                </m:sub>
              </m:sSub>
              <m:sSub>
                <m:sSubPr>
                  <m:ctrlPr>
                    <w:rPr>
                      <w:rFonts w:ascii="Cambria Math" w:hAnsi="Cambria Math"/>
                      <w:iCs/>
                      <w:sz w:val="20"/>
                      <w:szCs w:val="20"/>
                    </w:rPr>
                  </m:ctrlPr>
                </m:sSubPr>
                <m:e>
                  <m:r>
                    <m:rPr>
                      <m:sty m:val="p"/>
                    </m:rPr>
                    <w:rPr>
                      <w:rFonts w:ascii="Cambria Math" w:hAnsi="Cambria Math"/>
                      <w:sz w:val="20"/>
                      <w:szCs w:val="20"/>
                    </w:rPr>
                    <m:t>O</m:t>
                  </m:r>
                </m:e>
                <m:sub>
                  <m:r>
                    <m:rPr>
                      <m:sty m:val="p"/>
                    </m:rPr>
                    <w:rPr>
                      <w:rFonts w:ascii="Cambria Math" w:hAnsi="Cambria Math"/>
                      <w:sz w:val="20"/>
                      <w:szCs w:val="20"/>
                    </w:rPr>
                    <m:t>0.43</m:t>
                  </m:r>
                </m:sub>
              </m:sSub>
            </m:oMath>
            <w:r w:rsidRPr="009473D0">
              <w:rPr>
                <w:rFonts w:eastAsiaTheme="minorEastAsia"/>
                <w:iCs/>
                <w:sz w:val="20"/>
                <w:szCs w:val="20"/>
              </w:rPr>
              <w:t xml:space="preserve"> </w:t>
            </w:r>
          </w:p>
        </w:tc>
        <w:tc>
          <w:tcPr>
            <w:tcW w:w="548" w:type="pct"/>
            <w:tcBorders>
              <w:top w:val="single" w:sz="4" w:space="0" w:color="auto"/>
              <w:bottom w:val="single" w:sz="4" w:space="0" w:color="auto"/>
            </w:tcBorders>
          </w:tcPr>
          <w:p w14:paraId="62AE291D" w14:textId="77777777" w:rsidR="00E86630" w:rsidRPr="009473D0" w:rsidRDefault="00E86630" w:rsidP="00293EC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m:oMath>
              <m:r>
                <m:rPr>
                  <m:sty m:val="p"/>
                </m:rPr>
                <w:rPr>
                  <w:rFonts w:ascii="Cambria Math" w:hAnsi="Cambria Math"/>
                  <w:sz w:val="20"/>
                  <w:szCs w:val="20"/>
                </w:rPr>
                <m:t>CH</m:t>
              </m:r>
              <m:sSub>
                <m:sSubPr>
                  <m:ctrlPr>
                    <w:rPr>
                      <w:rFonts w:ascii="Cambria Math" w:hAnsi="Cambria Math"/>
                      <w:iCs/>
                      <w:sz w:val="20"/>
                      <w:szCs w:val="20"/>
                    </w:rPr>
                  </m:ctrlPr>
                </m:sSubPr>
                <m:e>
                  <m:r>
                    <m:rPr>
                      <m:sty m:val="p"/>
                    </m:rPr>
                    <w:rPr>
                      <w:rFonts w:ascii="Cambria Math" w:hAnsi="Cambria Math"/>
                      <w:sz w:val="20"/>
                      <w:szCs w:val="20"/>
                    </w:rPr>
                    <m:t>O</m:t>
                  </m:r>
                </m:e>
                <m:sub>
                  <m:r>
                    <m:rPr>
                      <m:sty m:val="p"/>
                    </m:rPr>
                    <w:rPr>
                      <w:rFonts w:ascii="Cambria Math" w:hAnsi="Cambria Math"/>
                      <w:sz w:val="20"/>
                      <w:szCs w:val="20"/>
                    </w:rPr>
                    <m:t>2</m:t>
                  </m:r>
                </m:sub>
              </m:sSub>
            </m:oMath>
            <w:r w:rsidRPr="009473D0">
              <w:rPr>
                <w:rFonts w:eastAsiaTheme="minorEastAsia"/>
                <w:iCs/>
                <w:sz w:val="20"/>
                <w:szCs w:val="20"/>
              </w:rPr>
              <w:t xml:space="preserve"> </w:t>
            </w:r>
          </w:p>
        </w:tc>
      </w:tr>
      <w:tr w:rsidR="00E86630" w:rsidRPr="009473D0" w14:paraId="3ED539E6" w14:textId="77777777" w:rsidTr="00293EC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780" w:type="pct"/>
            <w:tcBorders>
              <w:top w:val="single" w:sz="4" w:space="0" w:color="auto"/>
            </w:tcBorders>
          </w:tcPr>
          <w:p w14:paraId="292791BB" w14:textId="77777777" w:rsidR="00E86630" w:rsidRPr="009473D0" w:rsidRDefault="00E86630" w:rsidP="00293EC1">
            <w:pPr>
              <w:rPr>
                <w:sz w:val="20"/>
                <w:szCs w:val="20"/>
              </w:rPr>
            </w:pPr>
            <w:r w:rsidRPr="009473D0">
              <w:rPr>
                <w:sz w:val="20"/>
                <w:szCs w:val="20"/>
              </w:rPr>
              <w:t>NOSC</w:t>
            </w:r>
          </w:p>
        </w:tc>
        <w:tc>
          <w:tcPr>
            <w:tcW w:w="1103" w:type="pct"/>
            <w:tcBorders>
              <w:top w:val="single" w:sz="4" w:space="0" w:color="auto"/>
            </w:tcBorders>
          </w:tcPr>
          <w:p w14:paraId="6E0E7EFC" w14:textId="77777777" w:rsidR="00E86630" w:rsidRPr="009473D0" w:rsidRDefault="00E86630" w:rsidP="00293EC1">
            <w:pPr>
              <w:cnfStyle w:val="000000100000" w:firstRow="0" w:lastRow="0" w:firstColumn="0" w:lastColumn="0" w:oddVBand="0" w:evenVBand="0" w:oddHBand="1" w:evenHBand="0" w:firstRowFirstColumn="0" w:firstRowLastColumn="0" w:lastRowFirstColumn="0" w:lastRowLastColumn="0"/>
              <w:rPr>
                <w:sz w:val="20"/>
                <w:szCs w:val="20"/>
              </w:rPr>
            </w:pPr>
          </w:p>
        </w:tc>
        <w:tc>
          <w:tcPr>
            <w:tcW w:w="551" w:type="pct"/>
            <w:tcBorders>
              <w:top w:val="single" w:sz="4" w:space="0" w:color="auto"/>
            </w:tcBorders>
          </w:tcPr>
          <w:p w14:paraId="3D2A7166" w14:textId="77777777" w:rsidR="00E86630" w:rsidRPr="009473D0" w:rsidRDefault="00E86630" w:rsidP="00293EC1">
            <w:pPr>
              <w:cnfStyle w:val="000000100000" w:firstRow="0" w:lastRow="0" w:firstColumn="0" w:lastColumn="0" w:oddVBand="0" w:evenVBand="0" w:oddHBand="1" w:evenHBand="0" w:firstRowFirstColumn="0" w:firstRowLastColumn="0" w:lastRowFirstColumn="0" w:lastRowLastColumn="0"/>
              <w:rPr>
                <w:rFonts w:ascii="Calibri" w:eastAsia="Calibri" w:hAnsi="Calibri" w:cs="Arial"/>
                <w:sz w:val="20"/>
                <w:szCs w:val="20"/>
              </w:rPr>
            </w:pPr>
            <w:r w:rsidRPr="009473D0">
              <w:rPr>
                <w:rFonts w:ascii="Calibri" w:eastAsia="Calibri" w:hAnsi="Calibri" w:cs="Arial"/>
                <w:sz w:val="20"/>
                <w:szCs w:val="20"/>
              </w:rPr>
              <w:t>0</w:t>
            </w:r>
          </w:p>
        </w:tc>
        <w:tc>
          <w:tcPr>
            <w:tcW w:w="826" w:type="pct"/>
            <w:tcBorders>
              <w:top w:val="single" w:sz="4" w:space="0" w:color="auto"/>
            </w:tcBorders>
          </w:tcPr>
          <w:p w14:paraId="204D269B" w14:textId="77777777" w:rsidR="00E86630" w:rsidRPr="009473D0" w:rsidRDefault="00E86630" w:rsidP="00293EC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0"/>
                <w:szCs w:val="20"/>
              </w:rPr>
            </w:pPr>
            <w:r w:rsidRPr="009473D0">
              <w:rPr>
                <w:rFonts w:ascii="Calibri" w:eastAsia="Calibri" w:hAnsi="Calibri" w:cs="Calibri"/>
                <w:sz w:val="20"/>
                <w:szCs w:val="20"/>
              </w:rPr>
              <w:t>0.034</w:t>
            </w:r>
          </w:p>
        </w:tc>
        <w:tc>
          <w:tcPr>
            <w:tcW w:w="597" w:type="pct"/>
            <w:tcBorders>
              <w:top w:val="single" w:sz="4" w:space="0" w:color="auto"/>
            </w:tcBorders>
          </w:tcPr>
          <w:p w14:paraId="4ACEC5E6" w14:textId="77777777" w:rsidR="00E86630" w:rsidRPr="009473D0" w:rsidRDefault="00E86630" w:rsidP="00293EC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0"/>
                <w:szCs w:val="20"/>
              </w:rPr>
            </w:pPr>
            <w:r w:rsidRPr="009473D0">
              <w:rPr>
                <w:rFonts w:ascii="Calibri" w:eastAsia="Calibri" w:hAnsi="Calibri" w:cs="Calibri"/>
                <w:sz w:val="20"/>
                <w:szCs w:val="20"/>
              </w:rPr>
              <w:t>-0.38</w:t>
            </w:r>
          </w:p>
        </w:tc>
        <w:tc>
          <w:tcPr>
            <w:tcW w:w="596" w:type="pct"/>
            <w:tcBorders>
              <w:top w:val="single" w:sz="4" w:space="0" w:color="auto"/>
            </w:tcBorders>
          </w:tcPr>
          <w:p w14:paraId="798AEE3B" w14:textId="77777777" w:rsidR="00E86630" w:rsidRPr="009473D0" w:rsidRDefault="00E86630" w:rsidP="00293EC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0"/>
                <w:szCs w:val="20"/>
              </w:rPr>
            </w:pPr>
            <w:r w:rsidRPr="009473D0">
              <w:rPr>
                <w:rFonts w:ascii="Calibri" w:eastAsia="Calibri" w:hAnsi="Calibri" w:cs="Calibri"/>
                <w:sz w:val="20"/>
                <w:szCs w:val="20"/>
              </w:rPr>
              <w:t>-1.47</w:t>
            </w:r>
          </w:p>
        </w:tc>
        <w:tc>
          <w:tcPr>
            <w:tcW w:w="548" w:type="pct"/>
            <w:tcBorders>
              <w:top w:val="single" w:sz="4" w:space="0" w:color="auto"/>
            </w:tcBorders>
          </w:tcPr>
          <w:p w14:paraId="61E239EE" w14:textId="77777777" w:rsidR="00E86630" w:rsidRPr="009473D0" w:rsidRDefault="00E86630" w:rsidP="00293EC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0"/>
                <w:szCs w:val="20"/>
              </w:rPr>
            </w:pPr>
            <w:r w:rsidRPr="009473D0">
              <w:rPr>
                <w:rFonts w:ascii="Calibri" w:eastAsia="Calibri" w:hAnsi="Calibri" w:cs="Calibri"/>
                <w:sz w:val="20"/>
                <w:szCs w:val="20"/>
              </w:rPr>
              <w:t>3</w:t>
            </w:r>
          </w:p>
        </w:tc>
      </w:tr>
    </w:tbl>
    <w:p w14:paraId="42612350" w14:textId="77777777" w:rsidR="00D903C9" w:rsidRDefault="00D903C9" w:rsidP="004A6E2D"/>
    <w:p w14:paraId="68496A2D" w14:textId="77777777" w:rsidR="00566F9D" w:rsidRPr="004A6E2D" w:rsidRDefault="00566F9D" w:rsidP="00566F9D"/>
    <w:p w14:paraId="13AA78E3" w14:textId="097CFCAF" w:rsidR="00D903C9" w:rsidRDefault="00566F9D" w:rsidP="00566F9D">
      <w:r>
        <w:t>Table S</w:t>
      </w:r>
      <w:r>
        <w:fldChar w:fldCharType="begin"/>
      </w:r>
      <w:r>
        <w:instrText xml:space="preserve"> SEQ Table \* ARABIC </w:instrText>
      </w:r>
      <w:r>
        <w:fldChar w:fldCharType="separate"/>
      </w:r>
      <w:r w:rsidR="00AB53EC">
        <w:rPr>
          <w:noProof/>
        </w:rPr>
        <w:t>2</w:t>
      </w:r>
      <w:r>
        <w:rPr>
          <w:noProof/>
        </w:rPr>
        <w:fldChar w:fldCharType="end"/>
      </w:r>
      <w:r>
        <w:rPr>
          <w:noProof/>
        </w:rPr>
        <w:t xml:space="preserve"> </w:t>
      </w:r>
      <w:r w:rsidR="000C7240" w:rsidRPr="000C7240">
        <w:t xml:space="preserve">Description of symbols used in the </w:t>
      </w:r>
      <w:r w:rsidR="000C7240">
        <w:t xml:space="preserve">litter </w:t>
      </w:r>
      <w:r w:rsidR="000C7240" w:rsidRPr="000C7240">
        <w:t xml:space="preserve">decomposition </w:t>
      </w:r>
      <w:r w:rsidR="000C7240">
        <w:t>model</w:t>
      </w:r>
      <w:r w:rsidR="000C7240" w:rsidRPr="000C7240">
        <w:t xml:space="preserve">, including parameter names, units, and </w:t>
      </w:r>
      <w:r w:rsidR="001C4B57">
        <w:t>value source.</w:t>
      </w:r>
    </w:p>
    <w:tbl>
      <w:tblPr>
        <w:tblStyle w:val="TableGrid"/>
        <w:tblW w:w="0" w:type="auto"/>
        <w:tblLook w:val="04A0" w:firstRow="1" w:lastRow="0" w:firstColumn="1" w:lastColumn="0" w:noHBand="0" w:noVBand="1"/>
      </w:tblPr>
      <w:tblGrid>
        <w:gridCol w:w="1870"/>
        <w:gridCol w:w="1870"/>
        <w:gridCol w:w="1870"/>
        <w:gridCol w:w="1870"/>
        <w:gridCol w:w="1870"/>
      </w:tblGrid>
      <w:tr w:rsidR="00CD0AD4" w14:paraId="64E7F7BD" w14:textId="77777777" w:rsidTr="00CD0AD4">
        <w:tc>
          <w:tcPr>
            <w:tcW w:w="1870" w:type="dxa"/>
          </w:tcPr>
          <w:p w14:paraId="4B76E678" w14:textId="09AFD290" w:rsidR="00CD0AD4" w:rsidRPr="00EC4DA3" w:rsidRDefault="00CD0AD4" w:rsidP="00EC4DA3">
            <w:pPr>
              <w:jc w:val="center"/>
              <w:rPr>
                <w:b/>
                <w:bCs/>
              </w:rPr>
            </w:pPr>
            <w:r w:rsidRPr="00EC4DA3">
              <w:rPr>
                <w:b/>
                <w:bCs/>
              </w:rPr>
              <w:t>Symbol</w:t>
            </w:r>
          </w:p>
        </w:tc>
        <w:tc>
          <w:tcPr>
            <w:tcW w:w="1870" w:type="dxa"/>
          </w:tcPr>
          <w:p w14:paraId="2B74732C" w14:textId="3D7C7F46" w:rsidR="00CD0AD4" w:rsidRPr="00EC4DA3" w:rsidRDefault="00CD0AD4" w:rsidP="00EC4DA3">
            <w:pPr>
              <w:jc w:val="center"/>
              <w:rPr>
                <w:b/>
                <w:bCs/>
              </w:rPr>
            </w:pPr>
            <w:r w:rsidRPr="00EC4DA3">
              <w:rPr>
                <w:b/>
                <w:bCs/>
              </w:rPr>
              <w:t>Description</w:t>
            </w:r>
          </w:p>
        </w:tc>
        <w:tc>
          <w:tcPr>
            <w:tcW w:w="1870" w:type="dxa"/>
          </w:tcPr>
          <w:p w14:paraId="2D731E3A" w14:textId="58C03E36" w:rsidR="00CD0AD4" w:rsidRPr="00EC4DA3" w:rsidRDefault="00CD0AD4" w:rsidP="00EC4DA3">
            <w:pPr>
              <w:jc w:val="center"/>
              <w:rPr>
                <w:b/>
                <w:bCs/>
              </w:rPr>
            </w:pPr>
            <w:r w:rsidRPr="00EC4DA3">
              <w:rPr>
                <w:b/>
                <w:bCs/>
              </w:rPr>
              <w:t>Value</w:t>
            </w:r>
          </w:p>
        </w:tc>
        <w:tc>
          <w:tcPr>
            <w:tcW w:w="1870" w:type="dxa"/>
          </w:tcPr>
          <w:p w14:paraId="345B563C" w14:textId="370F67DF" w:rsidR="00CD0AD4" w:rsidRPr="00EC4DA3" w:rsidRDefault="00CD0AD4" w:rsidP="00EC4DA3">
            <w:pPr>
              <w:jc w:val="center"/>
              <w:rPr>
                <w:b/>
                <w:bCs/>
              </w:rPr>
            </w:pPr>
            <w:r w:rsidRPr="00EC4DA3">
              <w:rPr>
                <w:b/>
                <w:bCs/>
              </w:rPr>
              <w:t>Unit</w:t>
            </w:r>
          </w:p>
        </w:tc>
        <w:tc>
          <w:tcPr>
            <w:tcW w:w="1870" w:type="dxa"/>
          </w:tcPr>
          <w:p w14:paraId="2F081A5C" w14:textId="59E5226D" w:rsidR="00CD0AD4" w:rsidRPr="00EC4DA3" w:rsidRDefault="00CD0AD4" w:rsidP="00EC4DA3">
            <w:pPr>
              <w:jc w:val="center"/>
              <w:rPr>
                <w:b/>
                <w:bCs/>
              </w:rPr>
            </w:pPr>
            <w:r w:rsidRPr="00EC4DA3">
              <w:rPr>
                <w:b/>
                <w:bCs/>
              </w:rPr>
              <w:t>Source</w:t>
            </w:r>
          </w:p>
        </w:tc>
      </w:tr>
      <w:tr w:rsidR="00CD0AD4" w14:paraId="19A2CEEF" w14:textId="77777777" w:rsidTr="00CD0AD4">
        <w:tc>
          <w:tcPr>
            <w:tcW w:w="1870" w:type="dxa"/>
          </w:tcPr>
          <w:p w14:paraId="3217EFF8" w14:textId="50EEB065" w:rsidR="00CD0AD4" w:rsidRDefault="00E61944" w:rsidP="00E61944">
            <m:oMathPara>
              <m:oMath>
                <m:r>
                  <w:rPr>
                    <w:rFonts w:ascii="Cambria Math" w:hAnsi="Cambria Math"/>
                  </w:rPr>
                  <m:t>NM</m:t>
                </m:r>
                <m:sSub>
                  <m:sSubPr>
                    <m:ctrlPr>
                      <w:rPr>
                        <w:rFonts w:ascii="Cambria Math" w:hAnsi="Cambria Math"/>
                        <w:i/>
                      </w:rPr>
                    </m:ctrlPr>
                  </m:sSubPr>
                  <m:e>
                    <m:r>
                      <w:rPr>
                        <w:rFonts w:ascii="Cambria Math" w:hAnsi="Cambria Math"/>
                      </w:rPr>
                      <m:t>R</m:t>
                    </m:r>
                  </m:e>
                  <m:sub>
                    <m:r>
                      <w:rPr>
                        <w:rFonts w:ascii="Cambria Math" w:hAnsi="Cambria Math"/>
                      </w:rPr>
                      <m:t>OC</m:t>
                    </m:r>
                  </m:sub>
                </m:sSub>
              </m:oMath>
            </m:oMathPara>
          </w:p>
        </w:tc>
        <w:tc>
          <w:tcPr>
            <w:tcW w:w="1870" w:type="dxa"/>
          </w:tcPr>
          <w:p w14:paraId="5B5DBC8F" w14:textId="2352E97C" w:rsidR="00CD0AD4" w:rsidRDefault="00BB7C93" w:rsidP="00D14F27">
            <w:pPr>
              <w:jc w:val="center"/>
            </w:pPr>
            <w:r w:rsidRPr="00984316">
              <w:t xml:space="preserve">integrated values of chemical shift regions of </w:t>
            </w:r>
            <w:r w:rsidR="00BE2571" w:rsidRPr="00984316">
              <w:t xml:space="preserve">organic compounds </w:t>
            </w:r>
          </w:p>
        </w:tc>
        <w:tc>
          <w:tcPr>
            <w:tcW w:w="1870" w:type="dxa"/>
          </w:tcPr>
          <w:p w14:paraId="36178E05" w14:textId="77777777" w:rsidR="00CD0AD4" w:rsidRDefault="00CD0AD4" w:rsidP="004A6E2D"/>
        </w:tc>
        <w:tc>
          <w:tcPr>
            <w:tcW w:w="1870" w:type="dxa"/>
          </w:tcPr>
          <w:p w14:paraId="40B02803" w14:textId="360CC227" w:rsidR="00CD0AD4" w:rsidRDefault="0048706C" w:rsidP="004A6E2D">
            <w:r>
              <w:t>ppm</w:t>
            </w:r>
          </w:p>
        </w:tc>
        <w:tc>
          <w:tcPr>
            <w:tcW w:w="1870" w:type="dxa"/>
          </w:tcPr>
          <w:p w14:paraId="40FBDEE5" w14:textId="77777777" w:rsidR="00CD0AD4" w:rsidRDefault="00CD0AD4" w:rsidP="004A6E2D"/>
        </w:tc>
      </w:tr>
      <w:tr w:rsidR="00CD0AD4" w14:paraId="7972EDB3" w14:textId="77777777" w:rsidTr="00CD0AD4">
        <w:tc>
          <w:tcPr>
            <w:tcW w:w="1870" w:type="dxa"/>
          </w:tcPr>
          <w:p w14:paraId="15E97534" w14:textId="440B42AC" w:rsidR="00CD0AD4" w:rsidRDefault="00957238" w:rsidP="004A6E2D">
            <m:oMathPara>
              <m:oMath>
                <m:sSub>
                  <m:sSubPr>
                    <m:ctrlPr>
                      <w:rPr>
                        <w:rFonts w:ascii="Cambria Math" w:hAnsi="Cambria Math"/>
                        <w:i/>
                      </w:rPr>
                    </m:ctrlPr>
                  </m:sSubPr>
                  <m:e>
                    <m:r>
                      <w:rPr>
                        <w:rFonts w:ascii="Cambria Math" w:hAnsi="Cambria Math"/>
                      </w:rPr>
                      <m:t>NMR</m:t>
                    </m:r>
                  </m:e>
                  <m:sub>
                    <m:r>
                      <w:rPr>
                        <w:rFonts w:ascii="Cambria Math" w:hAnsi="Cambria Math"/>
                      </w:rPr>
                      <m:t>Litter</m:t>
                    </m:r>
                  </m:sub>
                </m:sSub>
              </m:oMath>
            </m:oMathPara>
          </w:p>
        </w:tc>
        <w:tc>
          <w:tcPr>
            <w:tcW w:w="1870" w:type="dxa"/>
          </w:tcPr>
          <w:p w14:paraId="3841FF38" w14:textId="4269138A" w:rsidR="00CD0AD4" w:rsidRDefault="00BB7C93" w:rsidP="004A6E2D">
            <w:r w:rsidRPr="00984316">
              <w:t>integrated values of chemical shift regions of litter sample</w:t>
            </w:r>
          </w:p>
        </w:tc>
        <w:tc>
          <w:tcPr>
            <w:tcW w:w="1870" w:type="dxa"/>
          </w:tcPr>
          <w:p w14:paraId="56E8CB14" w14:textId="77777777" w:rsidR="00CD0AD4" w:rsidRDefault="00CD0AD4" w:rsidP="004A6E2D"/>
        </w:tc>
        <w:tc>
          <w:tcPr>
            <w:tcW w:w="1870" w:type="dxa"/>
          </w:tcPr>
          <w:p w14:paraId="3BC39FE6" w14:textId="0EA232B3" w:rsidR="00CD0AD4" w:rsidRDefault="0048706C" w:rsidP="004A6E2D">
            <w:r>
              <w:t>ppm</w:t>
            </w:r>
          </w:p>
        </w:tc>
        <w:tc>
          <w:tcPr>
            <w:tcW w:w="1870" w:type="dxa"/>
          </w:tcPr>
          <w:p w14:paraId="5ADA0807" w14:textId="77777777" w:rsidR="00CD0AD4" w:rsidRDefault="00CD0AD4" w:rsidP="004A6E2D"/>
        </w:tc>
      </w:tr>
      <w:tr w:rsidR="00CD0AD4" w14:paraId="18877054" w14:textId="77777777" w:rsidTr="00CD0AD4">
        <w:tc>
          <w:tcPr>
            <w:tcW w:w="1870" w:type="dxa"/>
          </w:tcPr>
          <w:p w14:paraId="4915E137" w14:textId="0610490C" w:rsidR="00CD0AD4" w:rsidRDefault="00984FC8" w:rsidP="004A6E2D">
            <m:oMathPara>
              <m:oMath>
                <m:r>
                  <w:rPr>
                    <w:rFonts w:ascii="Cambria Math" w:eastAsiaTheme="minorEastAsia" w:hAnsi="Cambria Math"/>
                  </w:rPr>
                  <m:t>C</m:t>
                </m:r>
                <m:sSub>
                  <m:sSubPr>
                    <m:ctrlPr>
                      <w:rPr>
                        <w:rFonts w:ascii="Cambria Math" w:eastAsiaTheme="minorEastAsia" w:hAnsi="Cambria Math"/>
                        <w:bCs/>
                        <w:i/>
                      </w:rPr>
                    </m:ctrlPr>
                  </m:sSubPr>
                  <m:e>
                    <m:r>
                      <w:rPr>
                        <w:rFonts w:ascii="Cambria Math" w:eastAsiaTheme="minorEastAsia" w:hAnsi="Cambria Math"/>
                      </w:rPr>
                      <m:t>N</m:t>
                    </m:r>
                  </m:e>
                  <m:sub>
                    <m:r>
                      <w:rPr>
                        <w:rFonts w:ascii="Cambria Math" w:eastAsiaTheme="minorEastAsia" w:hAnsi="Cambria Math"/>
                      </w:rPr>
                      <m:t>P</m:t>
                    </m:r>
                  </m:sub>
                </m:sSub>
              </m:oMath>
            </m:oMathPara>
          </w:p>
        </w:tc>
        <w:tc>
          <w:tcPr>
            <w:tcW w:w="1870" w:type="dxa"/>
          </w:tcPr>
          <w:p w14:paraId="676DD81D" w14:textId="1357E7BA" w:rsidR="00CD0AD4" w:rsidRDefault="00670D37" w:rsidP="004A6E2D">
            <w:r>
              <w:rPr>
                <w:rFonts w:eastAsiaTheme="minorEastAsia"/>
              </w:rPr>
              <w:t xml:space="preserve">Carbon-to-Nitrogen </w:t>
            </w:r>
            <w:r w:rsidRPr="00984316">
              <w:rPr>
                <w:rFonts w:eastAsiaTheme="minorEastAsia"/>
              </w:rPr>
              <w:t>ratio of proteins</w:t>
            </w:r>
          </w:p>
        </w:tc>
        <w:tc>
          <w:tcPr>
            <w:tcW w:w="1870" w:type="dxa"/>
          </w:tcPr>
          <w:p w14:paraId="7C08C844" w14:textId="2F673067" w:rsidR="00CD0AD4" w:rsidRDefault="00545567" w:rsidP="004A6E2D">
            <w:r>
              <w:t>3.2</w:t>
            </w:r>
          </w:p>
        </w:tc>
        <w:tc>
          <w:tcPr>
            <w:tcW w:w="1870" w:type="dxa"/>
          </w:tcPr>
          <w:p w14:paraId="77F7E2F1" w14:textId="6B3010A9" w:rsidR="00CD0AD4" w:rsidRDefault="0048706C" w:rsidP="004A6E2D">
            <w:r>
              <w:t>gCgN</w:t>
            </w:r>
            <w:r w:rsidRPr="0048706C">
              <w:rPr>
                <w:vertAlign w:val="superscript"/>
              </w:rPr>
              <w:t>-1</w:t>
            </w:r>
          </w:p>
        </w:tc>
        <w:tc>
          <w:tcPr>
            <w:tcW w:w="1870" w:type="dxa"/>
          </w:tcPr>
          <w:p w14:paraId="7BCA3CB2" w14:textId="77777777" w:rsidR="00CD0AD4" w:rsidRDefault="00CD0AD4" w:rsidP="004A6E2D"/>
        </w:tc>
      </w:tr>
      <w:tr w:rsidR="00CD0AD4" w14:paraId="4FC0E739" w14:textId="77777777" w:rsidTr="00CD0AD4">
        <w:tc>
          <w:tcPr>
            <w:tcW w:w="1870" w:type="dxa"/>
          </w:tcPr>
          <w:p w14:paraId="1EECFD24" w14:textId="1369B625" w:rsidR="00CD0AD4" w:rsidRDefault="00466A37" w:rsidP="004A6E2D">
            <m:oMathPara>
              <m:oMath>
                <m:r>
                  <w:rPr>
                    <w:rFonts w:ascii="Cambria Math" w:hAnsi="Cambria Math"/>
                  </w:rPr>
                  <m:t>C</m:t>
                </m:r>
                <m:sSub>
                  <m:sSubPr>
                    <m:ctrlPr>
                      <w:rPr>
                        <w:rFonts w:ascii="Cambria Math" w:eastAsiaTheme="minorEastAsia" w:hAnsi="Cambria Math"/>
                        <w:i/>
                      </w:rPr>
                    </m:ctrlPr>
                  </m:sSubPr>
                  <m:e>
                    <m:r>
                      <w:rPr>
                        <w:rFonts w:ascii="Cambria Math" w:hAnsi="Cambria Math"/>
                      </w:rPr>
                      <m:t>N</m:t>
                    </m:r>
                    <m:ctrlPr>
                      <w:rPr>
                        <w:rFonts w:ascii="Cambria Math" w:hAnsi="Cambria Math"/>
                        <w:i/>
                      </w:rPr>
                    </m:ctrlPr>
                  </m:e>
                  <m:sub>
                    <m:r>
                      <w:rPr>
                        <w:rFonts w:ascii="Cambria Math" w:eastAsiaTheme="minorEastAsia" w:hAnsi="Cambria Math"/>
                      </w:rPr>
                      <m:t>litter</m:t>
                    </m:r>
                  </m:sub>
                </m:sSub>
              </m:oMath>
            </m:oMathPara>
          </w:p>
        </w:tc>
        <w:tc>
          <w:tcPr>
            <w:tcW w:w="1870" w:type="dxa"/>
          </w:tcPr>
          <w:p w14:paraId="04B81184" w14:textId="757FCBDA" w:rsidR="00CD0AD4" w:rsidRDefault="00F37DFD" w:rsidP="004A6E2D">
            <w:r>
              <w:rPr>
                <w:rFonts w:eastAsiaTheme="minorEastAsia"/>
              </w:rPr>
              <w:t xml:space="preserve">Carbon-to-Nitrogen </w:t>
            </w:r>
            <w:r w:rsidRPr="00984316">
              <w:rPr>
                <w:rFonts w:eastAsiaTheme="minorEastAsia"/>
              </w:rPr>
              <w:t xml:space="preserve">ratio of </w:t>
            </w:r>
            <w:r>
              <w:rPr>
                <w:rFonts w:eastAsiaTheme="minorEastAsia"/>
              </w:rPr>
              <w:t>litter</w:t>
            </w:r>
          </w:p>
        </w:tc>
        <w:tc>
          <w:tcPr>
            <w:tcW w:w="1870" w:type="dxa"/>
          </w:tcPr>
          <w:p w14:paraId="2484BAB7" w14:textId="0E79F5D6" w:rsidR="00CD0AD4" w:rsidRDefault="00B00D22" w:rsidP="004A6E2D">
            <w:r>
              <w:t>Observed</w:t>
            </w:r>
          </w:p>
        </w:tc>
        <w:tc>
          <w:tcPr>
            <w:tcW w:w="1870" w:type="dxa"/>
          </w:tcPr>
          <w:p w14:paraId="12FBB615" w14:textId="7C79D4F4" w:rsidR="00CD0AD4" w:rsidRDefault="0048706C" w:rsidP="004A6E2D">
            <w:r>
              <w:t>gCgN</w:t>
            </w:r>
            <w:r w:rsidRPr="0048706C">
              <w:rPr>
                <w:vertAlign w:val="superscript"/>
              </w:rPr>
              <w:t>-1</w:t>
            </w:r>
          </w:p>
        </w:tc>
        <w:tc>
          <w:tcPr>
            <w:tcW w:w="1870" w:type="dxa"/>
          </w:tcPr>
          <w:p w14:paraId="5D84EE90" w14:textId="77777777" w:rsidR="00CD0AD4" w:rsidRDefault="00CD0AD4" w:rsidP="004A6E2D"/>
        </w:tc>
      </w:tr>
      <w:tr w:rsidR="00CD0AD4" w14:paraId="05141E8F" w14:textId="77777777" w:rsidTr="00CD0AD4">
        <w:tc>
          <w:tcPr>
            <w:tcW w:w="1870" w:type="dxa"/>
          </w:tcPr>
          <w:p w14:paraId="3673588A" w14:textId="5D4F9096" w:rsidR="00CD0AD4" w:rsidRDefault="00466A37" w:rsidP="004A6E2D">
            <m:oMathPara>
              <m:oMath>
                <m:r>
                  <w:rPr>
                    <w:rFonts w:ascii="Cambria Math" w:hAnsi="Cambria Math"/>
                  </w:rPr>
                  <m:t>C</m:t>
                </m:r>
                <m:sSub>
                  <m:sSubPr>
                    <m:ctrlPr>
                      <w:rPr>
                        <w:rFonts w:ascii="Cambria Math" w:eastAsiaTheme="minorEastAsia" w:hAnsi="Cambria Math"/>
                        <w:i/>
                      </w:rPr>
                    </m:ctrlPr>
                  </m:sSubPr>
                  <m:e>
                    <m:r>
                      <w:rPr>
                        <w:rFonts w:ascii="Cambria Math" w:hAnsi="Cambria Math"/>
                      </w:rPr>
                      <m:t>N</m:t>
                    </m:r>
                    <m:ctrlPr>
                      <w:rPr>
                        <w:rFonts w:ascii="Cambria Math" w:hAnsi="Cambria Math"/>
                        <w:i/>
                      </w:rPr>
                    </m:ctrlPr>
                  </m:e>
                  <m:sub>
                    <m:r>
                      <w:rPr>
                        <w:rFonts w:ascii="Cambria Math" w:eastAsiaTheme="minorEastAsia" w:hAnsi="Cambria Math"/>
                      </w:rPr>
                      <m:t>B</m:t>
                    </m:r>
                  </m:sub>
                </m:sSub>
              </m:oMath>
            </m:oMathPara>
          </w:p>
        </w:tc>
        <w:tc>
          <w:tcPr>
            <w:tcW w:w="1870" w:type="dxa"/>
          </w:tcPr>
          <w:p w14:paraId="02187004" w14:textId="5BEB6F68" w:rsidR="00CD0AD4" w:rsidRDefault="00D6005F" w:rsidP="004A6E2D">
            <w:r>
              <w:rPr>
                <w:rFonts w:eastAsiaTheme="minorEastAsia"/>
              </w:rPr>
              <w:t xml:space="preserve">Carbon-to-Nitrogen </w:t>
            </w:r>
            <w:r w:rsidRPr="00984316">
              <w:rPr>
                <w:rFonts w:eastAsiaTheme="minorEastAsia"/>
              </w:rPr>
              <w:t xml:space="preserve">ratio of </w:t>
            </w:r>
            <w:r>
              <w:rPr>
                <w:rFonts w:eastAsiaTheme="minorEastAsia"/>
              </w:rPr>
              <w:t>microorganism</w:t>
            </w:r>
          </w:p>
        </w:tc>
        <w:tc>
          <w:tcPr>
            <w:tcW w:w="1870" w:type="dxa"/>
          </w:tcPr>
          <w:p w14:paraId="7E8E00AC" w14:textId="19195FC7" w:rsidR="00CD0AD4" w:rsidRDefault="007D7E1F" w:rsidP="004A6E2D">
            <w:r>
              <w:t>16</w:t>
            </w:r>
          </w:p>
        </w:tc>
        <w:tc>
          <w:tcPr>
            <w:tcW w:w="1870" w:type="dxa"/>
          </w:tcPr>
          <w:p w14:paraId="28BCC1AC" w14:textId="68EB7C90" w:rsidR="00CD0AD4" w:rsidRDefault="0048706C" w:rsidP="004A6E2D">
            <w:r>
              <w:t>gCgN</w:t>
            </w:r>
            <w:r w:rsidRPr="0048706C">
              <w:rPr>
                <w:vertAlign w:val="superscript"/>
              </w:rPr>
              <w:t>-1</w:t>
            </w:r>
          </w:p>
        </w:tc>
        <w:tc>
          <w:tcPr>
            <w:tcW w:w="1870" w:type="dxa"/>
          </w:tcPr>
          <w:p w14:paraId="6C5E9F5A" w14:textId="51C613E0" w:rsidR="00CD0AD4" w:rsidRDefault="00F967EA" w:rsidP="004A6E2D">
            <w:r w:rsidRPr="00984316">
              <w:rPr>
                <w:rFonts w:eastAsiaTheme="minorEastAsia"/>
              </w:rPr>
              <w:fldChar w:fldCharType="begin"/>
            </w:r>
            <w:r w:rsidR="00263CBE">
              <w:rPr>
                <w:rFonts w:eastAsiaTheme="minorEastAsia"/>
              </w:rPr>
              <w:instrText xml:space="preserve"> ADDIN ZOTERO_ITEM CSL_CITATION {"citationID":"OqfG2IhP","properties":{"formattedCitation":"(Zhang &amp; Elser, 2017)","plainCitation":"(Zhang &amp; Elser, 2017)","noteIndex":0},"citationItems":[{"id":8957,"uris":["http://zotero.org/users/5408042/items/IU6QMIKC"],"itemData":{"id":8957,"type":"article-journal","abstract":"&lt;p&gt;Surveys of carbon:nitrogen:phosphorus ratios are available now for major groups of biota and for various aquatic and terrestrial biomes. However, while fungi play an important role in nutrient cycling in ecosystems, relatively little is known about their C:N:P stoichiometry and how it varies across taxonomic groups, functional guilds, and environmental conditions. Here we present the first systematic compilation of C:N:P data for fungi including four phyla (Ascomycota, Basidiomycota, Glomeromycota, and Zygomycota). The C, N, and P contents (percent of dry mass) of fungal biomass varied from 38 to 57%, 0.23 to 15%, and 0.040 to 5.5%, respectively. Median C:N:P stoichiometry for fungi was 250:16:1 (molar), remarkably similar to the canonical Redfield values. However, we found extremely broad variation in fungal C:N:P ratios around the central tendencies in C:N:P ratios. Lower C:P and N:P ratios were found in Ascomycota fungi than in Basidiomycota fungi while significantly lower C:N ratios (&lt;italic&gt;p&lt;/italic&gt; &amp;lt; 0.05) and higher N:P ratios (&lt;italic&gt;p&lt;/italic&gt; &amp;lt; 0.01) were found in ectomycorrhizal fungi than in saprotrophs. Furthermore, several fungal stoichiometric ratios were strongly correlated with geographic and abiotic environmental factors, especially latitude, precipitation, and temperature. The results have implications for understanding the roles that fungi play in function in symbioses and in soil nutrient cycling. Further work is needed on the effects of actual &lt;italic&gt;in situ&lt;/italic&gt; growth conditions of fungal growth on stoichiometry in the mycelium.&lt;/p&gt;","container-title":"Frontiers in Microbiology","DOI":"10.3389/fmicb.2017.01281","ISSN":"1664-302X","journalAbbreviation":"Front. Microbiol.","language":"English","note":"publisher: Frontiers","source":"Frontiers","title":"Carbon:Nitrogen:Phosphorus Stoichiometry in Fungi: A Meta-Analysis","title-short":"Carbon","URL":"https://www.frontiersin.org/journals/microbiology/articles/10.3389/fmicb.2017.01281/full","volume":"8","author":[{"family":"Zhang","given":"Ji"},{"family":"Elser","given":"James J."}],"accessed":{"date-parts":[["2024",3,15]]},"issued":{"date-parts":[["2017",7,14]]},"citation-key":"zhangCarbonNitrogenPhosphorus2017"}}],"schema":"https://github.com/citation-style-language/schema/raw/master/csl-citation.json"} </w:instrText>
            </w:r>
            <w:r w:rsidRPr="00984316">
              <w:rPr>
                <w:rFonts w:eastAsiaTheme="minorEastAsia"/>
              </w:rPr>
              <w:fldChar w:fldCharType="separate"/>
            </w:r>
            <w:r w:rsidR="00263CBE" w:rsidRPr="00263CBE">
              <w:rPr>
                <w:rFonts w:ascii="Calibri" w:hAnsi="Calibri" w:cs="Calibri"/>
              </w:rPr>
              <w:t>(Zhang &amp; Elser, 2017)</w:t>
            </w:r>
            <w:r w:rsidRPr="00984316">
              <w:rPr>
                <w:rFonts w:eastAsiaTheme="minorEastAsia"/>
              </w:rPr>
              <w:fldChar w:fldCharType="end"/>
            </w:r>
          </w:p>
        </w:tc>
      </w:tr>
      <w:tr w:rsidR="00CD0AD4" w14:paraId="3D894744" w14:textId="77777777" w:rsidTr="00CD0AD4">
        <w:tc>
          <w:tcPr>
            <w:tcW w:w="1870" w:type="dxa"/>
          </w:tcPr>
          <w:p w14:paraId="6FE505EC" w14:textId="2D7F9EEB" w:rsidR="00CD0AD4" w:rsidRDefault="00114D5F" w:rsidP="004A6E2D">
            <m:oMathPara>
              <m:oMath>
                <m:r>
                  <m:rPr>
                    <m:sty m:val="bi"/>
                  </m:rPr>
                  <w:rPr>
                    <w:rFonts w:ascii="Cambria Math" w:eastAsiaTheme="minorEastAsia" w:hAnsi="Cambria Math"/>
                  </w:rPr>
                  <m:t>x</m:t>
                </m:r>
              </m:oMath>
            </m:oMathPara>
          </w:p>
        </w:tc>
        <w:tc>
          <w:tcPr>
            <w:tcW w:w="1870" w:type="dxa"/>
          </w:tcPr>
          <w:p w14:paraId="402134DB" w14:textId="5899757B" w:rsidR="00CD0AD4" w:rsidRDefault="00EC6CAA" w:rsidP="004A6E2D">
            <w:r w:rsidRPr="00984316">
              <w:rPr>
                <w:rFonts w:eastAsiaTheme="minorEastAsia"/>
              </w:rPr>
              <w:t>vector containing fraction of five organic compounds</w:t>
            </w:r>
          </w:p>
        </w:tc>
        <w:tc>
          <w:tcPr>
            <w:tcW w:w="1870" w:type="dxa"/>
          </w:tcPr>
          <w:p w14:paraId="54F594CB" w14:textId="77777777" w:rsidR="00CD0AD4" w:rsidRDefault="00CD0AD4" w:rsidP="004A6E2D"/>
        </w:tc>
        <w:tc>
          <w:tcPr>
            <w:tcW w:w="1870" w:type="dxa"/>
          </w:tcPr>
          <w:p w14:paraId="6C5A046A" w14:textId="34AFF67D" w:rsidR="00CD0AD4" w:rsidRDefault="0048706C" w:rsidP="004A6E2D">
            <w:r>
              <w:t>gCg</w:t>
            </w:r>
            <w:r>
              <w:t>C</w:t>
            </w:r>
            <w:r w:rsidRPr="0048706C">
              <w:rPr>
                <w:vertAlign w:val="superscript"/>
              </w:rPr>
              <w:t>-1</w:t>
            </w:r>
          </w:p>
        </w:tc>
        <w:tc>
          <w:tcPr>
            <w:tcW w:w="1870" w:type="dxa"/>
          </w:tcPr>
          <w:p w14:paraId="54683A16" w14:textId="25AF93C1" w:rsidR="00CD0AD4" w:rsidRDefault="00F967EA" w:rsidP="004A6E2D">
            <w:r>
              <w:t>calculated</w:t>
            </w:r>
          </w:p>
        </w:tc>
      </w:tr>
      <w:tr w:rsidR="00CD0AD4" w14:paraId="7764A429" w14:textId="77777777" w:rsidTr="00CD0AD4">
        <w:tc>
          <w:tcPr>
            <w:tcW w:w="1870" w:type="dxa"/>
          </w:tcPr>
          <w:p w14:paraId="567FDD69" w14:textId="12802517" w:rsidR="00CD0AD4" w:rsidRDefault="00957238" w:rsidP="004A6E2D">
            <m:oMathPara>
              <m:oMath>
                <m:sSub>
                  <m:sSubPr>
                    <m:ctrlPr>
                      <w:rPr>
                        <w:rFonts w:ascii="Cambria Math" w:hAnsi="Cambria Math"/>
                        <w:i/>
                      </w:rPr>
                    </m:ctrlPr>
                  </m:sSubPr>
                  <m:e>
                    <m:r>
                      <w:rPr>
                        <w:rFonts w:ascii="Cambria Math" w:hAnsi="Cambria Math"/>
                      </w:rPr>
                      <m:t>M</m:t>
                    </m:r>
                  </m:e>
                  <m:sub>
                    <m:r>
                      <w:rPr>
                        <w:rFonts w:ascii="Cambria Math" w:hAnsi="Cambria Math"/>
                      </w:rPr>
                      <m:t>i</m:t>
                    </m:r>
                  </m:sub>
                </m:sSub>
              </m:oMath>
            </m:oMathPara>
          </w:p>
        </w:tc>
        <w:tc>
          <w:tcPr>
            <w:tcW w:w="1870" w:type="dxa"/>
          </w:tcPr>
          <w:p w14:paraId="025DD998" w14:textId="752D6477" w:rsidR="00CD0AD4" w:rsidRDefault="001402AC" w:rsidP="004A6E2D">
            <m:oMath>
              <m:r>
                <w:rPr>
                  <w:rFonts w:ascii="Cambria Math" w:hAnsi="Cambria Math"/>
                </w:rPr>
                <m:t>M</m:t>
              </m:r>
            </m:oMath>
            <w:r w:rsidRPr="00984316">
              <w:rPr>
                <w:rFonts w:eastAsiaTheme="minorEastAsia"/>
              </w:rPr>
              <w:t xml:space="preserve"> is the mass of C in each pool, </w:t>
            </w:r>
            <m:oMath>
              <m:r>
                <w:rPr>
                  <w:rFonts w:ascii="Cambria Math" w:hAnsi="Cambria Math"/>
                </w:rPr>
                <m:t>i</m:t>
              </m:r>
            </m:oMath>
            <w:r w:rsidRPr="00984316">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h</m:t>
                  </m:r>
                </m:sub>
              </m:sSub>
              <m:r>
                <w:rPr>
                  <w:rFonts w:ascii="Cambria Math" w:eastAsiaTheme="minorEastAsia" w:hAnsi="Cambria Math"/>
                </w:rPr>
                <m:t xml:space="preserve">, P,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oMath>
            <w:r w:rsidRPr="00984316">
              <w:rPr>
                <w:rFonts w:eastAsiaTheme="minorEastAsia"/>
              </w:rPr>
              <w:t xml:space="preserve"> 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oMath>
            <w:r w:rsidRPr="00984316">
              <w:rPr>
                <w:rFonts w:eastAsiaTheme="minorEastAsia"/>
              </w:rPr>
              <w:t xml:space="preserve"> </w:t>
            </w:r>
          </w:p>
        </w:tc>
        <w:tc>
          <w:tcPr>
            <w:tcW w:w="1870" w:type="dxa"/>
          </w:tcPr>
          <w:p w14:paraId="65714487" w14:textId="77777777" w:rsidR="00CD0AD4" w:rsidRDefault="00CD0AD4" w:rsidP="004A6E2D"/>
        </w:tc>
        <w:tc>
          <w:tcPr>
            <w:tcW w:w="1870" w:type="dxa"/>
          </w:tcPr>
          <w:p w14:paraId="455EE49C" w14:textId="75543CDA" w:rsidR="00CD0AD4" w:rsidRDefault="0048706C" w:rsidP="004A6E2D">
            <w:r>
              <w:t>gC</w:t>
            </w:r>
          </w:p>
        </w:tc>
        <w:tc>
          <w:tcPr>
            <w:tcW w:w="1870" w:type="dxa"/>
          </w:tcPr>
          <w:p w14:paraId="6474FEED" w14:textId="5BC42875" w:rsidR="00CD0AD4" w:rsidRDefault="00F967EA" w:rsidP="004A6E2D">
            <w:r>
              <w:t>calculated</w:t>
            </w:r>
          </w:p>
        </w:tc>
      </w:tr>
      <w:tr w:rsidR="00D43583" w14:paraId="030B2C31" w14:textId="77777777" w:rsidTr="00CD0AD4">
        <w:tc>
          <w:tcPr>
            <w:tcW w:w="1870" w:type="dxa"/>
          </w:tcPr>
          <w:p w14:paraId="7E6043A1" w14:textId="5EAAF9F0" w:rsidR="00D43583" w:rsidRDefault="00957238" w:rsidP="004A6E2D">
            <w:pPr>
              <w:rPr>
                <w:rFonts w:ascii="Aptos" w:eastAsia="Aptos" w:hAnsi="Aptos" w:cs="Times New Roman"/>
              </w:rPr>
            </w:pPr>
            <m:oMathPara>
              <m:oMath>
                <m:sSub>
                  <m:sSubPr>
                    <m:ctrlPr>
                      <w:rPr>
                        <w:rFonts w:ascii="Cambria Math" w:hAnsi="Cambria Math"/>
                        <w:i/>
                      </w:rPr>
                    </m:ctrlPr>
                  </m:sSubPr>
                  <m:e>
                    <m:r>
                      <w:rPr>
                        <w:rFonts w:ascii="Cambria Math" w:hAnsi="Cambria Math"/>
                      </w:rPr>
                      <m:t>U</m:t>
                    </m:r>
                  </m:e>
                  <m:sub>
                    <m:r>
                      <w:rPr>
                        <w:rFonts w:ascii="Cambria Math" w:hAnsi="Cambria Math"/>
                      </w:rPr>
                      <m:t>i</m:t>
                    </m:r>
                  </m:sub>
                </m:sSub>
              </m:oMath>
            </m:oMathPara>
          </w:p>
        </w:tc>
        <w:tc>
          <w:tcPr>
            <w:tcW w:w="1870" w:type="dxa"/>
          </w:tcPr>
          <w:p w14:paraId="4E0F7D89" w14:textId="3DFA6CCE" w:rsidR="00D43583" w:rsidRDefault="0000274F" w:rsidP="004A6E2D">
            <w:r w:rsidRPr="00984316">
              <w:rPr>
                <w:rFonts w:eastAsiaTheme="minorEastAsia"/>
              </w:rPr>
              <w:t xml:space="preserve">uptake rate of </w:t>
            </w:r>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th</m:t>
                  </m:r>
                </m:sup>
              </m:sSup>
            </m:oMath>
            <w:r>
              <w:rPr>
                <w:rFonts w:eastAsiaTheme="minorEastAsia"/>
              </w:rPr>
              <w:t xml:space="preserve"> </w:t>
            </w:r>
            <w:r w:rsidRPr="00984316">
              <w:rPr>
                <w:rFonts w:eastAsiaTheme="minorEastAsia"/>
              </w:rPr>
              <w:t xml:space="preserve">pool </w:t>
            </w:r>
          </w:p>
        </w:tc>
        <w:tc>
          <w:tcPr>
            <w:tcW w:w="1870" w:type="dxa"/>
          </w:tcPr>
          <w:p w14:paraId="434FC8F6" w14:textId="77777777" w:rsidR="00D43583" w:rsidRDefault="00D43583" w:rsidP="004A6E2D"/>
        </w:tc>
        <w:tc>
          <w:tcPr>
            <w:tcW w:w="1870" w:type="dxa"/>
          </w:tcPr>
          <w:p w14:paraId="66DD5730" w14:textId="174EDBFB" w:rsidR="00D43583" w:rsidRDefault="0048706C" w:rsidP="004A6E2D">
            <w:r>
              <w:t>gC d</w:t>
            </w:r>
            <w:r w:rsidR="00A168EB" w:rsidRPr="00A168EB">
              <w:rPr>
                <w:vertAlign w:val="superscript"/>
              </w:rPr>
              <w:t>-1</w:t>
            </w:r>
          </w:p>
        </w:tc>
        <w:tc>
          <w:tcPr>
            <w:tcW w:w="1870" w:type="dxa"/>
          </w:tcPr>
          <w:p w14:paraId="5466B3C3" w14:textId="77777777" w:rsidR="00D43583" w:rsidRDefault="00D43583" w:rsidP="004A6E2D"/>
        </w:tc>
      </w:tr>
      <w:tr w:rsidR="00D43583" w14:paraId="554769A4" w14:textId="77777777" w:rsidTr="00CD0AD4">
        <w:tc>
          <w:tcPr>
            <w:tcW w:w="1870" w:type="dxa"/>
          </w:tcPr>
          <w:p w14:paraId="694E24F0" w14:textId="67C6ADC2" w:rsidR="00D43583" w:rsidRDefault="00957238" w:rsidP="004A6E2D">
            <w:pPr>
              <w:rPr>
                <w:rFonts w:ascii="Aptos" w:eastAsia="Aptos" w:hAnsi="Aptos" w:cs="Times New Roman"/>
              </w:rPr>
            </w:pPr>
            <m:oMathPara>
              <m:oMath>
                <m:sSub>
                  <m:sSubPr>
                    <m:ctrlPr>
                      <w:rPr>
                        <w:rFonts w:ascii="Cambria Math" w:hAnsi="Cambria Math" w:cs="Times New Roman"/>
                        <w:i/>
                      </w:rPr>
                    </m:ctrlPr>
                  </m:sSubPr>
                  <m:e>
                    <m:r>
                      <w:rPr>
                        <w:rFonts w:ascii="Cambria Math" w:hAnsi="Cambria Math" w:cs="Times New Roman"/>
                      </w:rPr>
                      <m:t>CUE</m:t>
                    </m:r>
                  </m:e>
                  <m:sub>
                    <m:r>
                      <w:rPr>
                        <w:rFonts w:ascii="Cambria Math" w:hAnsi="Cambria Math" w:cs="Times New Roman"/>
                      </w:rPr>
                      <m:t>max</m:t>
                    </m:r>
                  </m:sub>
                </m:sSub>
              </m:oMath>
            </m:oMathPara>
          </w:p>
        </w:tc>
        <w:tc>
          <w:tcPr>
            <w:tcW w:w="1870" w:type="dxa"/>
          </w:tcPr>
          <w:p w14:paraId="75EBFFEC" w14:textId="29055327" w:rsidR="00D43583" w:rsidRDefault="00D04F30" w:rsidP="004A6E2D">
            <w:r>
              <w:t xml:space="preserve">Maximum </w:t>
            </w:r>
            <w:r w:rsidRPr="00984316">
              <w:rPr>
                <w:rFonts w:eastAsiaTheme="minorEastAsia"/>
              </w:rPr>
              <w:t xml:space="preserve">C use efficiency </w:t>
            </w:r>
          </w:p>
        </w:tc>
        <w:tc>
          <w:tcPr>
            <w:tcW w:w="1870" w:type="dxa"/>
          </w:tcPr>
          <w:p w14:paraId="79C600C9" w14:textId="77777777" w:rsidR="00D43583" w:rsidRDefault="00D43583" w:rsidP="004A6E2D"/>
        </w:tc>
        <w:tc>
          <w:tcPr>
            <w:tcW w:w="1870" w:type="dxa"/>
          </w:tcPr>
          <w:p w14:paraId="3C190932" w14:textId="5DFA0B97" w:rsidR="00D43583" w:rsidRDefault="00E51D51" w:rsidP="004A6E2D">
            <w:r>
              <w:t>-</w:t>
            </w:r>
          </w:p>
        </w:tc>
        <w:tc>
          <w:tcPr>
            <w:tcW w:w="1870" w:type="dxa"/>
          </w:tcPr>
          <w:p w14:paraId="2782857A" w14:textId="76B2DD0E" w:rsidR="00D43583" w:rsidRDefault="00045DF5" w:rsidP="004A6E2D">
            <w:r>
              <w:t>calculated</w:t>
            </w:r>
          </w:p>
        </w:tc>
      </w:tr>
      <w:tr w:rsidR="00D43583" w14:paraId="3129D610" w14:textId="77777777" w:rsidTr="00CD0AD4">
        <w:tc>
          <w:tcPr>
            <w:tcW w:w="1870" w:type="dxa"/>
          </w:tcPr>
          <w:p w14:paraId="337198B9" w14:textId="461BB4DC" w:rsidR="00D43583" w:rsidRDefault="00B71D38" w:rsidP="004A6E2D">
            <w:pPr>
              <w:rPr>
                <w:rFonts w:ascii="Aptos" w:eastAsia="Aptos" w:hAnsi="Aptos" w:cs="Times New Roman"/>
              </w:rPr>
            </w:pPr>
            <m:oMathPara>
              <m:oMath>
                <m:r>
                  <w:rPr>
                    <w:rFonts w:ascii="Cambria Math" w:hAnsi="Cambria Math" w:cs="Times New Roman"/>
                  </w:rPr>
                  <m:t>CUE</m:t>
                </m:r>
              </m:oMath>
            </m:oMathPara>
          </w:p>
        </w:tc>
        <w:tc>
          <w:tcPr>
            <w:tcW w:w="1870" w:type="dxa"/>
          </w:tcPr>
          <w:p w14:paraId="27FCB46B" w14:textId="4C53B74A" w:rsidR="00D43583" w:rsidRDefault="00D04F30" w:rsidP="004A6E2D">
            <w:r w:rsidRPr="00984316">
              <w:rPr>
                <w:rFonts w:eastAsiaTheme="minorEastAsia"/>
              </w:rPr>
              <w:t xml:space="preserve">C use efficiency </w:t>
            </w:r>
          </w:p>
        </w:tc>
        <w:tc>
          <w:tcPr>
            <w:tcW w:w="1870" w:type="dxa"/>
          </w:tcPr>
          <w:p w14:paraId="24A24417" w14:textId="77777777" w:rsidR="00D43583" w:rsidRDefault="00D43583" w:rsidP="004A6E2D"/>
        </w:tc>
        <w:tc>
          <w:tcPr>
            <w:tcW w:w="1870" w:type="dxa"/>
          </w:tcPr>
          <w:p w14:paraId="001AEA52" w14:textId="5C9B8D40" w:rsidR="00D43583" w:rsidRDefault="00E51D51" w:rsidP="004A6E2D">
            <w:r>
              <w:t>-</w:t>
            </w:r>
          </w:p>
        </w:tc>
        <w:tc>
          <w:tcPr>
            <w:tcW w:w="1870" w:type="dxa"/>
          </w:tcPr>
          <w:p w14:paraId="239BF59A" w14:textId="6C5E3F64" w:rsidR="00D43583" w:rsidRDefault="00045DF5" w:rsidP="004A6E2D">
            <w:r>
              <w:t>calculated</w:t>
            </w:r>
          </w:p>
        </w:tc>
      </w:tr>
      <w:tr w:rsidR="00D43583" w14:paraId="1CC4FAFD" w14:textId="77777777" w:rsidTr="00CD0AD4">
        <w:tc>
          <w:tcPr>
            <w:tcW w:w="1870" w:type="dxa"/>
          </w:tcPr>
          <w:p w14:paraId="1B9BEA91" w14:textId="616DE3A7" w:rsidR="00D43583" w:rsidRDefault="00957238" w:rsidP="004A6E2D">
            <w:pPr>
              <w:rPr>
                <w:rFonts w:ascii="Aptos" w:eastAsia="Aptos" w:hAnsi="Aptos" w:cs="Times New Roman"/>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m:oMathPara>
          </w:p>
        </w:tc>
        <w:tc>
          <w:tcPr>
            <w:tcW w:w="1870" w:type="dxa"/>
          </w:tcPr>
          <w:p w14:paraId="47828B47" w14:textId="4BF48E4C" w:rsidR="00D43583" w:rsidRDefault="003D35E8" w:rsidP="004A6E2D">
            <w:r>
              <w:rPr>
                <w:rFonts w:eastAsiaTheme="minorEastAsia"/>
              </w:rPr>
              <w:t xml:space="preserve">fraction of microbial </w:t>
            </w:r>
            <w:r>
              <w:rPr>
                <w:rFonts w:eastAsiaTheme="minorEastAsia"/>
              </w:rPr>
              <w:lastRenderedPageBreak/>
              <w:t xml:space="preserve">mortality transferred to </w:t>
            </w:r>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th</m:t>
                  </m:r>
                </m:sup>
              </m:sSup>
            </m:oMath>
            <w:r>
              <w:rPr>
                <w:rFonts w:eastAsiaTheme="minorEastAsia"/>
              </w:rPr>
              <w:t xml:space="preserve"> </w:t>
            </w:r>
            <w:r w:rsidRPr="00984316">
              <w:rPr>
                <w:rFonts w:eastAsiaTheme="minorEastAsia"/>
              </w:rPr>
              <w:t xml:space="preserve">pool </w:t>
            </w:r>
          </w:p>
        </w:tc>
        <w:tc>
          <w:tcPr>
            <w:tcW w:w="1870" w:type="dxa"/>
          </w:tcPr>
          <w:p w14:paraId="7625EB05" w14:textId="3C743CDC" w:rsidR="00D43583" w:rsidRDefault="001B62BA" w:rsidP="004A6E2D">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h</m:t>
                      </m:r>
                    </m:sub>
                  </m:sSub>
                </m:sub>
              </m:sSub>
              <m:r>
                <w:rPr>
                  <w:rFonts w:ascii="Cambria Math" w:eastAsiaTheme="minorEastAsia" w:hAnsi="Cambria Math"/>
                </w:rPr>
                <m:t>=0.1</m:t>
              </m:r>
              <m:r>
                <w:rPr>
                  <w:rFonts w:ascii="Cambria Math" w:eastAsiaTheme="minorEastAsia" w:hAnsi="Cambria Math"/>
                </w:rPr>
                <m:t>3</m:t>
              </m:r>
            </m:oMath>
            <w:r w:rsidRPr="00984316">
              <w:rPr>
                <w:rFonts w:eastAsiaTheme="minorEastAsia"/>
              </w:rPr>
              <w:t>,</w:t>
            </w:r>
            <w:r w:rsidRPr="00984316">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sidR="00B935C0" w:rsidRPr="00984316">
              <w:rPr>
                <w:rFonts w:eastAsiaTheme="minorEastAsia"/>
              </w:rPr>
              <w:t xml:space="preserve"> = 0.32, </w:t>
            </w: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g</m:t>
                      </m:r>
                    </m:sub>
                  </m:sSub>
                </m:sub>
              </m:sSub>
              <m:r>
                <w:rPr>
                  <w:rFonts w:ascii="Cambria Math" w:eastAsiaTheme="minorEastAsia" w:hAnsi="Cambria Math"/>
                </w:rPr>
                <m:t>=</m:t>
              </m:r>
              <m:r>
                <w:rPr>
                  <w:rFonts w:ascii="Cambria Math" w:eastAsiaTheme="minorEastAsia" w:hAnsi="Cambria Math"/>
                </w:rPr>
                <w:lastRenderedPageBreak/>
                <m:t>0.1</m:t>
              </m:r>
            </m:oMath>
            <w:r w:rsidR="00FE5F15" w:rsidRPr="00984316">
              <w:rPr>
                <w:rFonts w:eastAsiaTheme="minorEastAsia"/>
              </w:rPr>
              <w:t>,</w:t>
            </w:r>
            <w:r w:rsidR="00FE5F15" w:rsidRPr="00984316">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sub>
              </m:sSub>
              <m:r>
                <w:rPr>
                  <w:rFonts w:ascii="Cambria Math" w:eastAsiaTheme="minorEastAsia" w:hAnsi="Cambria Math"/>
                </w:rPr>
                <m:t>=0.4</m:t>
              </m:r>
            </m:oMath>
            <w:r w:rsidR="00FE5F15" w:rsidRPr="00984316">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sub>
              </m:sSub>
              <m:r>
                <w:rPr>
                  <w:rFonts w:ascii="Cambria Math" w:eastAsiaTheme="minorEastAsia" w:hAnsi="Cambria Math"/>
                </w:rPr>
                <m:t>=0.05</m:t>
              </m:r>
            </m:oMath>
          </w:p>
        </w:tc>
        <w:tc>
          <w:tcPr>
            <w:tcW w:w="1870" w:type="dxa"/>
          </w:tcPr>
          <w:p w14:paraId="27B622EB" w14:textId="5686B195" w:rsidR="00D43583" w:rsidRDefault="00E51D51" w:rsidP="004A6E2D">
            <w:r>
              <w:lastRenderedPageBreak/>
              <w:t>-</w:t>
            </w:r>
          </w:p>
        </w:tc>
        <w:tc>
          <w:tcPr>
            <w:tcW w:w="1870" w:type="dxa"/>
          </w:tcPr>
          <w:p w14:paraId="11664DD7" w14:textId="4B752E85" w:rsidR="00D43583" w:rsidRDefault="00000415" w:rsidP="004A6E2D">
            <w:r w:rsidRPr="00984316">
              <w:rPr>
                <w:rFonts w:ascii="Calibri" w:hAnsi="Calibri" w:cs="Calibri"/>
              </w:rPr>
              <w:t xml:space="preserve">Beidler et al. </w:t>
            </w:r>
            <w:r w:rsidRPr="00984316">
              <w:rPr>
                <w:rFonts w:eastAsiaTheme="minorEastAsia"/>
              </w:rPr>
              <w:fldChar w:fldCharType="begin"/>
            </w:r>
            <w:r w:rsidRPr="00984316">
              <w:rPr>
                <w:rFonts w:eastAsiaTheme="minorEastAsia"/>
              </w:rPr>
              <w:instrText xml:space="preserve"> ADDIN ZOTERO_ITEM CSL_CITATION {"citationID":"gdqp7iow","properties":{"formattedCitation":"(2020)","plainCitation":"(2020)","noteIndex":0},"citationItems":[{"id":8954,"uris":["http://zotero.org/users/5408042/items/DA84XKSM"],"itemData":{"id":8954,"type":"article-journal","abstract":"Fungal mycelium is increasingly recognized as a central component of soil biogeochemical cycling, yet our current understanding of the ecological controls on fungal necromass decomposition is limited to single sites and vegetation types. By deploying common fungal necromass substrates in a temperate oak savanna and hardwood forest in the midwestern USA, we assessed the generality of the rate at which high- and low-quality fungal necromass decomposes; further, we investigated how the decomposer ‘necrobiome’ varies both across and within sites under vegetation types dominated by either arbuscular or ectomycorrhizal plants. The effects of necromass quality on decay rate were robust to site and vegetation type differences, with high-quality fungal necromass decomposing, on average, 2.5 times faster during the initial stages of decay. Across vegetation types, bacterial and fungal communities present on decaying necromass differed from bulk soil microbial communities and were influenced by necromass quality. Moulds, yeasts and copiotrophic bacteria consistently dominated the necrobiome of high-quality fungal substrates. Synthesis. We show that regardless of differences in decay environments, high-quality fungal substrates decompose faster and support different types of decomposer micro-organisms when compared with low-quality fungal tissues. These findings help to refine our theoretical understanding of the dominant factors affecting fast cycling components of soil organic matter and the microbial communities associated with rapid decay.","container-title":"Journal of Ecology","DOI":"10.1111/1365-2745.13385","ISSN":"1365-2745","issue":"5","language":"en","license":"© 2020 British Ecological Society","note":"_eprint: https://onlinelibrary.wiley.com/doi/pdf/10.1111/1365-2745.13385","page":"1845-1859","source":"Wiley Online Library","title":"Substrate quality drives fungal necromass decay and decomposer community structure under contrasting vegetation types","volume":"108","author":[{"family":"Beidler","given":"Katilyn V."},{"family":"Phillips","given":"Richard P."},{"family":"Andrews","given":"Erin"},{"family":"Maillard","given":"François"},{"family":"Mushinski","given":"Ryan M."},{"family":"Kennedy","given":"Peter G."}],"issued":{"date-parts":[["2020"]]},"citation-key":"beidlerSubstrateQualityDrives2020"},"label":"page","suppress-author":true}],"schema":"https://github.com/citation-style-language/schema/raw/master/csl-citation.json"} </w:instrText>
            </w:r>
            <w:r w:rsidRPr="00984316">
              <w:rPr>
                <w:rFonts w:eastAsiaTheme="minorEastAsia"/>
              </w:rPr>
              <w:fldChar w:fldCharType="separate"/>
            </w:r>
            <w:r w:rsidRPr="00984316">
              <w:rPr>
                <w:rFonts w:ascii="Calibri" w:hAnsi="Calibri" w:cs="Calibri"/>
              </w:rPr>
              <w:t>(2020)</w:t>
            </w:r>
            <w:r w:rsidRPr="00984316">
              <w:rPr>
                <w:rFonts w:eastAsiaTheme="minorEastAsia"/>
              </w:rPr>
              <w:fldChar w:fldCharType="end"/>
            </w:r>
          </w:p>
        </w:tc>
      </w:tr>
      <w:tr w:rsidR="00D43583" w14:paraId="1E9C82BB" w14:textId="77777777" w:rsidTr="00CD0AD4">
        <w:tc>
          <w:tcPr>
            <w:tcW w:w="1870" w:type="dxa"/>
          </w:tcPr>
          <w:p w14:paraId="4ED5E2EE" w14:textId="44BD02EF" w:rsidR="00D43583" w:rsidRDefault="00957238" w:rsidP="004A6E2D">
            <w:pPr>
              <w:rPr>
                <w:rFonts w:ascii="Aptos" w:eastAsia="Aptos" w:hAnsi="Aptos" w:cs="Times New Roman"/>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m:oMathPara>
          </w:p>
        </w:tc>
        <w:tc>
          <w:tcPr>
            <w:tcW w:w="1870" w:type="dxa"/>
          </w:tcPr>
          <w:p w14:paraId="7E6F9980" w14:textId="3AA5ACBD" w:rsidR="00D43583" w:rsidRDefault="00B66BC4" w:rsidP="004A6E2D">
            <w:r>
              <w:t xml:space="preserve">Lignin modifier for </w:t>
            </w:r>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th</m:t>
                  </m:r>
                </m:sup>
              </m:sSup>
            </m:oMath>
            <w:r w:rsidR="00771A25">
              <w:rPr>
                <w:rFonts w:eastAsiaTheme="minorEastAsia"/>
              </w:rPr>
              <w:t xml:space="preserve"> </w:t>
            </w:r>
            <w:r w:rsidR="00771A25" w:rsidRPr="00984316">
              <w:rPr>
                <w:rFonts w:eastAsiaTheme="minorEastAsia"/>
              </w:rPr>
              <w:t xml:space="preserve">pool </w:t>
            </w:r>
          </w:p>
        </w:tc>
        <w:tc>
          <w:tcPr>
            <w:tcW w:w="1870" w:type="dxa"/>
          </w:tcPr>
          <w:p w14:paraId="1A60C9ED" w14:textId="77777777" w:rsidR="00D43583" w:rsidRDefault="00D43583" w:rsidP="004A6E2D"/>
        </w:tc>
        <w:tc>
          <w:tcPr>
            <w:tcW w:w="1870" w:type="dxa"/>
          </w:tcPr>
          <w:p w14:paraId="0E2F377B" w14:textId="08577919" w:rsidR="00D43583" w:rsidRDefault="00E51D51" w:rsidP="004A6E2D">
            <w:r>
              <w:t>-</w:t>
            </w:r>
          </w:p>
        </w:tc>
        <w:tc>
          <w:tcPr>
            <w:tcW w:w="1870" w:type="dxa"/>
          </w:tcPr>
          <w:p w14:paraId="44702DDE" w14:textId="451943B6" w:rsidR="00D43583" w:rsidRDefault="00045DF5" w:rsidP="004A6E2D">
            <w:r>
              <w:t>calculated</w:t>
            </w:r>
          </w:p>
        </w:tc>
      </w:tr>
      <w:tr w:rsidR="00D43583" w14:paraId="51577A6D" w14:textId="77777777" w:rsidTr="00CD0AD4">
        <w:tc>
          <w:tcPr>
            <w:tcW w:w="1870" w:type="dxa"/>
          </w:tcPr>
          <w:p w14:paraId="114B1B5E" w14:textId="3972AC30" w:rsidR="00D43583" w:rsidRDefault="00957238" w:rsidP="004A6E2D">
            <w:pPr>
              <w:rPr>
                <w:rFonts w:ascii="Aptos" w:eastAsia="Aptos" w:hAnsi="Aptos"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oMath>
            </m:oMathPara>
          </w:p>
        </w:tc>
        <w:tc>
          <w:tcPr>
            <w:tcW w:w="1870" w:type="dxa"/>
          </w:tcPr>
          <w:p w14:paraId="09659F26" w14:textId="6EA20E1B" w:rsidR="00D43583" w:rsidRDefault="00B66CCB" w:rsidP="004A6E2D">
            <w:r w:rsidRPr="00984316">
              <w:rPr>
                <w:rFonts w:eastAsiaTheme="minorEastAsia"/>
              </w:rPr>
              <w:t xml:space="preserve">rate constant of </w:t>
            </w:r>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th</m:t>
                  </m:r>
                </m:sup>
              </m:sSup>
            </m:oMath>
            <w:r>
              <w:rPr>
                <w:rFonts w:eastAsiaTheme="minorEastAsia"/>
              </w:rPr>
              <w:t xml:space="preserve"> </w:t>
            </w:r>
            <w:r w:rsidRPr="00984316">
              <w:rPr>
                <w:rFonts w:eastAsiaTheme="minorEastAsia"/>
              </w:rPr>
              <w:t xml:space="preserve">pool </w:t>
            </w:r>
          </w:p>
        </w:tc>
        <w:tc>
          <w:tcPr>
            <w:tcW w:w="1870" w:type="dxa"/>
          </w:tcPr>
          <w:p w14:paraId="1A97188C" w14:textId="77777777" w:rsidR="00D43583" w:rsidRDefault="00D43583" w:rsidP="004A6E2D"/>
        </w:tc>
        <w:tc>
          <w:tcPr>
            <w:tcW w:w="1870" w:type="dxa"/>
          </w:tcPr>
          <w:p w14:paraId="31957EFD" w14:textId="4F3A6416" w:rsidR="00D43583" w:rsidRDefault="00E51D51" w:rsidP="004A6E2D">
            <w:r>
              <w:t>d</w:t>
            </w:r>
            <w:r w:rsidRPr="0048706C">
              <w:rPr>
                <w:vertAlign w:val="superscript"/>
              </w:rPr>
              <w:t>-1</w:t>
            </w:r>
          </w:p>
        </w:tc>
        <w:tc>
          <w:tcPr>
            <w:tcW w:w="1870" w:type="dxa"/>
          </w:tcPr>
          <w:p w14:paraId="4F35785D" w14:textId="0CD39E11" w:rsidR="00D43583" w:rsidRDefault="00045DF5" w:rsidP="004A6E2D">
            <w:r>
              <w:t>fitted</w:t>
            </w:r>
          </w:p>
        </w:tc>
      </w:tr>
      <w:tr w:rsidR="00D43583" w14:paraId="732D8E1F" w14:textId="77777777" w:rsidTr="00CD0AD4">
        <w:tc>
          <w:tcPr>
            <w:tcW w:w="1870" w:type="dxa"/>
          </w:tcPr>
          <w:p w14:paraId="1F033615" w14:textId="0857EDD5" w:rsidR="00D43583" w:rsidRDefault="00957238" w:rsidP="004A6E2D">
            <w:pPr>
              <w:rPr>
                <w:rFonts w:ascii="Aptos" w:eastAsia="Aptos" w:hAnsi="Aptos"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oMath>
            </m:oMathPara>
          </w:p>
        </w:tc>
        <w:tc>
          <w:tcPr>
            <w:tcW w:w="1870" w:type="dxa"/>
          </w:tcPr>
          <w:p w14:paraId="593E869D" w14:textId="3E415E85" w:rsidR="00D43583" w:rsidRDefault="00A96CBB" w:rsidP="004A6E2D">
            <w:r w:rsidRPr="00984316">
              <w:rPr>
                <w:rFonts w:eastAsiaTheme="minorEastAsia"/>
              </w:rPr>
              <w:t xml:space="preserve">mass </w:t>
            </w:r>
            <w:r>
              <w:rPr>
                <w:rFonts w:eastAsiaTheme="minorEastAsia"/>
              </w:rPr>
              <w:t>of N in pr</w:t>
            </w:r>
            <w:r w:rsidRPr="00984316">
              <w:rPr>
                <w:rFonts w:eastAsiaTheme="minorEastAsia"/>
              </w:rPr>
              <w:t xml:space="preserve">otein pool </w:t>
            </w:r>
          </w:p>
        </w:tc>
        <w:tc>
          <w:tcPr>
            <w:tcW w:w="1870" w:type="dxa"/>
          </w:tcPr>
          <w:p w14:paraId="4EBF1DB6" w14:textId="6DFE0F19" w:rsidR="00D43583" w:rsidRDefault="000C02A2" w:rsidP="004A6E2D">
            <w:r>
              <w:t>Observed</w:t>
            </w:r>
          </w:p>
        </w:tc>
        <w:tc>
          <w:tcPr>
            <w:tcW w:w="1870" w:type="dxa"/>
          </w:tcPr>
          <w:p w14:paraId="14E39F71" w14:textId="4414BC74" w:rsidR="00D43583" w:rsidRDefault="00E51D51" w:rsidP="004A6E2D">
            <w:r>
              <w:t>gN</w:t>
            </w:r>
          </w:p>
        </w:tc>
        <w:tc>
          <w:tcPr>
            <w:tcW w:w="1870" w:type="dxa"/>
          </w:tcPr>
          <w:p w14:paraId="7B688119" w14:textId="77777777" w:rsidR="00D43583" w:rsidRDefault="00D43583" w:rsidP="004A6E2D"/>
        </w:tc>
      </w:tr>
      <w:tr w:rsidR="000C6F52" w14:paraId="3FA40D1F" w14:textId="77777777" w:rsidTr="00CD0AD4">
        <w:tc>
          <w:tcPr>
            <w:tcW w:w="1870" w:type="dxa"/>
          </w:tcPr>
          <w:p w14:paraId="63B702F1" w14:textId="07ED1D8E" w:rsidR="000C6F52" w:rsidRDefault="000C6F52" w:rsidP="000C6F52">
            <w:pPr>
              <w:rPr>
                <w:rFonts w:ascii="Aptos" w:eastAsia="Aptos" w:hAnsi="Aptos" w:cs="Times New Roman"/>
              </w:rPr>
            </w:pPr>
            <m:oMathPara>
              <m:oMath>
                <m:r>
                  <w:rPr>
                    <w:rFonts w:ascii="Cambria Math" w:eastAsiaTheme="minorEastAsia" w:hAnsi="Cambria Math"/>
                  </w:rPr>
                  <m:t>G</m:t>
                </m:r>
              </m:oMath>
            </m:oMathPara>
          </w:p>
        </w:tc>
        <w:tc>
          <w:tcPr>
            <w:tcW w:w="1870" w:type="dxa"/>
          </w:tcPr>
          <w:p w14:paraId="7EF8B97B" w14:textId="2176ED01" w:rsidR="000C6F52" w:rsidRDefault="000C6F52" w:rsidP="000C6F52">
            <w:r w:rsidRPr="00984316">
              <w:t xml:space="preserve">microbial growth rate </w:t>
            </w:r>
          </w:p>
        </w:tc>
        <w:tc>
          <w:tcPr>
            <w:tcW w:w="1870" w:type="dxa"/>
          </w:tcPr>
          <w:p w14:paraId="26F08D09" w14:textId="77777777" w:rsidR="000C6F52" w:rsidRDefault="000C6F52" w:rsidP="000C6F52"/>
        </w:tc>
        <w:tc>
          <w:tcPr>
            <w:tcW w:w="1870" w:type="dxa"/>
          </w:tcPr>
          <w:p w14:paraId="755F54BA" w14:textId="026E2F99" w:rsidR="000C6F52" w:rsidRDefault="000C6F52" w:rsidP="000C6F52">
            <w:r>
              <w:t>gC d</w:t>
            </w:r>
            <w:r w:rsidRPr="00A168EB">
              <w:rPr>
                <w:vertAlign w:val="superscript"/>
              </w:rPr>
              <w:t>-1</w:t>
            </w:r>
          </w:p>
        </w:tc>
        <w:tc>
          <w:tcPr>
            <w:tcW w:w="1870" w:type="dxa"/>
          </w:tcPr>
          <w:p w14:paraId="65426831" w14:textId="6F3CEA21" w:rsidR="000C6F52" w:rsidRDefault="000C6F52" w:rsidP="000C6F52">
            <w:r w:rsidRPr="007C5390">
              <w:t>calculated</w:t>
            </w:r>
          </w:p>
        </w:tc>
      </w:tr>
      <w:tr w:rsidR="000C6F52" w14:paraId="26BE2583" w14:textId="77777777" w:rsidTr="00CD0AD4">
        <w:tc>
          <w:tcPr>
            <w:tcW w:w="1870" w:type="dxa"/>
          </w:tcPr>
          <w:p w14:paraId="03026E8D" w14:textId="6B69750D" w:rsidR="000C6F52" w:rsidRDefault="000C6F52" w:rsidP="000C6F52">
            <w:pPr>
              <w:rPr>
                <w:rFonts w:ascii="Aptos" w:eastAsia="Aptos" w:hAnsi="Aptos" w:cs="Times New Roman"/>
              </w:rPr>
            </w:pPr>
            <m:oMathPara>
              <m:oMath>
                <m:r>
                  <w:rPr>
                    <w:rFonts w:ascii="Cambria Math" w:eastAsiaTheme="minorEastAsia" w:hAnsi="Cambria Math"/>
                  </w:rPr>
                  <m:t>T</m:t>
                </m:r>
              </m:oMath>
            </m:oMathPara>
          </w:p>
        </w:tc>
        <w:tc>
          <w:tcPr>
            <w:tcW w:w="1870" w:type="dxa"/>
          </w:tcPr>
          <w:p w14:paraId="0F57C7B4" w14:textId="678815A7" w:rsidR="000C6F52" w:rsidRDefault="000C6F52" w:rsidP="000C6F52">
            <w:r w:rsidRPr="00984316">
              <w:rPr>
                <w:rFonts w:eastAsiaTheme="minorEastAsia"/>
              </w:rPr>
              <w:t xml:space="preserve">microbial mortality rate </w:t>
            </w:r>
          </w:p>
        </w:tc>
        <w:tc>
          <w:tcPr>
            <w:tcW w:w="1870" w:type="dxa"/>
          </w:tcPr>
          <w:p w14:paraId="35950BE0" w14:textId="77777777" w:rsidR="000C6F52" w:rsidRDefault="000C6F52" w:rsidP="000C6F52"/>
        </w:tc>
        <w:tc>
          <w:tcPr>
            <w:tcW w:w="1870" w:type="dxa"/>
          </w:tcPr>
          <w:p w14:paraId="31F565CB" w14:textId="5824A871" w:rsidR="000C6F52" w:rsidRDefault="000C6F52" w:rsidP="000C6F52">
            <w:r>
              <w:t>gC d</w:t>
            </w:r>
            <w:r w:rsidRPr="00A168EB">
              <w:rPr>
                <w:vertAlign w:val="superscript"/>
              </w:rPr>
              <w:t>-1</w:t>
            </w:r>
          </w:p>
        </w:tc>
        <w:tc>
          <w:tcPr>
            <w:tcW w:w="1870" w:type="dxa"/>
          </w:tcPr>
          <w:p w14:paraId="2E4EF949" w14:textId="0EEEE2D0" w:rsidR="000C6F52" w:rsidRDefault="000C6F52" w:rsidP="000C6F52">
            <w:r w:rsidRPr="007C5390">
              <w:t>calculated</w:t>
            </w:r>
          </w:p>
        </w:tc>
      </w:tr>
      <w:tr w:rsidR="000C6F52" w14:paraId="2569DD80" w14:textId="77777777" w:rsidTr="00CD0AD4">
        <w:tc>
          <w:tcPr>
            <w:tcW w:w="1870" w:type="dxa"/>
          </w:tcPr>
          <w:p w14:paraId="0B2D1453" w14:textId="08403752" w:rsidR="000C6F52" w:rsidRDefault="000C6F52" w:rsidP="000C6F52">
            <w:pPr>
              <w:rPr>
                <w:rFonts w:ascii="Aptos" w:eastAsia="Aptos" w:hAnsi="Aptos" w:cs="Times New Roman"/>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net</m:t>
                    </m:r>
                  </m:sub>
                </m:sSub>
              </m:oMath>
            </m:oMathPara>
          </w:p>
        </w:tc>
        <w:tc>
          <w:tcPr>
            <w:tcW w:w="1870" w:type="dxa"/>
          </w:tcPr>
          <w:p w14:paraId="5B71744A" w14:textId="0399940D" w:rsidR="000C6F52" w:rsidRDefault="000C6F52" w:rsidP="000C6F52">
            <w:r w:rsidRPr="00984316">
              <w:rPr>
                <w:rFonts w:eastAsiaTheme="minorEastAsia"/>
              </w:rPr>
              <w:t>net N exchange rate from inorganic pool</w:t>
            </w:r>
          </w:p>
        </w:tc>
        <w:tc>
          <w:tcPr>
            <w:tcW w:w="1870" w:type="dxa"/>
          </w:tcPr>
          <w:p w14:paraId="2A87274E" w14:textId="77777777" w:rsidR="000C6F52" w:rsidRDefault="000C6F52" w:rsidP="000C6F52"/>
        </w:tc>
        <w:tc>
          <w:tcPr>
            <w:tcW w:w="1870" w:type="dxa"/>
          </w:tcPr>
          <w:p w14:paraId="1DFBAECF" w14:textId="5C2B60C3" w:rsidR="000C6F52" w:rsidRDefault="000C6F52" w:rsidP="000C6F52">
            <w:r>
              <w:t>g</w:t>
            </w:r>
            <w:r>
              <w:t>N</w:t>
            </w:r>
            <w:r>
              <w:t xml:space="preserve"> d</w:t>
            </w:r>
            <w:r w:rsidRPr="00A168EB">
              <w:rPr>
                <w:vertAlign w:val="superscript"/>
              </w:rPr>
              <w:t>-1</w:t>
            </w:r>
          </w:p>
        </w:tc>
        <w:tc>
          <w:tcPr>
            <w:tcW w:w="1870" w:type="dxa"/>
          </w:tcPr>
          <w:p w14:paraId="5B6DFC03" w14:textId="7D7FEB8C" w:rsidR="000C6F52" w:rsidRDefault="000C6F52" w:rsidP="000C6F52">
            <w:r w:rsidRPr="007C5390">
              <w:t>calculated</w:t>
            </w:r>
          </w:p>
        </w:tc>
      </w:tr>
      <w:tr w:rsidR="000C6F52" w14:paraId="192974BF" w14:textId="77777777" w:rsidTr="00CD0AD4">
        <w:tc>
          <w:tcPr>
            <w:tcW w:w="1870" w:type="dxa"/>
          </w:tcPr>
          <w:p w14:paraId="72BAC4A6" w14:textId="4EF698A0" w:rsidR="000C6F52" w:rsidRDefault="000C6F52" w:rsidP="000C6F52">
            <w:pPr>
              <w:rPr>
                <w:rFonts w:ascii="Aptos" w:eastAsia="Aptos" w:hAnsi="Aptos" w:cs="Times New Roman"/>
              </w:rPr>
            </w:pPr>
            <m:oMathPara>
              <m:oMath>
                <m:r>
                  <w:rPr>
                    <w:rFonts w:ascii="Cambria Math" w:eastAsiaTheme="minorEastAsia" w:hAnsi="Cambria Math"/>
                  </w:rPr>
                  <m:t>η</m:t>
                </m:r>
              </m:oMath>
            </m:oMathPara>
          </w:p>
        </w:tc>
        <w:tc>
          <w:tcPr>
            <w:tcW w:w="1870" w:type="dxa"/>
          </w:tcPr>
          <w:p w14:paraId="0217145C" w14:textId="08E7CCFB" w:rsidR="000C6F52" w:rsidRDefault="000C6F52" w:rsidP="000C6F52">
            <w:r w:rsidRPr="00984316">
              <w:rPr>
                <w:rFonts w:eastAsiaTheme="minorEastAsia"/>
              </w:rPr>
              <w:t>N retention factor</w:t>
            </w:r>
          </w:p>
        </w:tc>
        <w:tc>
          <w:tcPr>
            <w:tcW w:w="1870" w:type="dxa"/>
          </w:tcPr>
          <w:p w14:paraId="4A74D13B" w14:textId="77777777" w:rsidR="000C6F52" w:rsidRDefault="000C6F52" w:rsidP="000C6F52"/>
        </w:tc>
        <w:tc>
          <w:tcPr>
            <w:tcW w:w="1870" w:type="dxa"/>
          </w:tcPr>
          <w:p w14:paraId="7E8BAD08" w14:textId="072BEE30" w:rsidR="000C6F52" w:rsidRDefault="000C6F52" w:rsidP="000C6F52">
            <w:r>
              <w:t>-</w:t>
            </w:r>
          </w:p>
        </w:tc>
        <w:tc>
          <w:tcPr>
            <w:tcW w:w="1870" w:type="dxa"/>
          </w:tcPr>
          <w:p w14:paraId="4F7A12A0" w14:textId="2F7C5D96" w:rsidR="000C6F52" w:rsidRDefault="000C6F52" w:rsidP="000C6F52">
            <w:r w:rsidRPr="007C5390">
              <w:t>calculated</w:t>
            </w:r>
          </w:p>
        </w:tc>
      </w:tr>
      <w:tr w:rsidR="000E6790" w14:paraId="4360163A" w14:textId="77777777" w:rsidTr="00CD0AD4">
        <w:tc>
          <w:tcPr>
            <w:tcW w:w="1870" w:type="dxa"/>
          </w:tcPr>
          <w:p w14:paraId="13CF3D6F" w14:textId="708E4737" w:rsidR="000E6790" w:rsidRDefault="00957238" w:rsidP="004A6E2D">
            <w:pPr>
              <w:rPr>
                <w:rFonts w:ascii="Aptos" w:eastAsia="Aptos" w:hAnsi="Aptos" w:cs="Times New Roman"/>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m:oMathPara>
          </w:p>
        </w:tc>
        <w:tc>
          <w:tcPr>
            <w:tcW w:w="1870" w:type="dxa"/>
          </w:tcPr>
          <w:p w14:paraId="10747FDA" w14:textId="70D9B621" w:rsidR="000E6790" w:rsidRDefault="00836555" w:rsidP="004A6E2D">
            <w:r w:rsidRPr="00984316">
              <w:rPr>
                <w:rFonts w:eastAsiaTheme="minorEastAsia"/>
              </w:rPr>
              <w:t>supply rate of inorganic N</w:t>
            </w:r>
          </w:p>
        </w:tc>
        <w:tc>
          <w:tcPr>
            <w:tcW w:w="1870" w:type="dxa"/>
          </w:tcPr>
          <w:p w14:paraId="60598E55" w14:textId="77777777" w:rsidR="000E6790" w:rsidRDefault="000E6790" w:rsidP="004A6E2D"/>
        </w:tc>
        <w:tc>
          <w:tcPr>
            <w:tcW w:w="1870" w:type="dxa"/>
          </w:tcPr>
          <w:p w14:paraId="66B63F4C" w14:textId="1F3D661B" w:rsidR="000E6790" w:rsidRDefault="00E51D51" w:rsidP="004A6E2D">
            <w:r>
              <w:t>g</w:t>
            </w:r>
            <w:r>
              <w:t>N</w:t>
            </w:r>
            <w:r>
              <w:t xml:space="preserve"> d</w:t>
            </w:r>
            <w:r w:rsidRPr="00A168EB">
              <w:rPr>
                <w:vertAlign w:val="superscript"/>
              </w:rPr>
              <w:t>-1</w:t>
            </w:r>
          </w:p>
        </w:tc>
        <w:tc>
          <w:tcPr>
            <w:tcW w:w="1870" w:type="dxa"/>
          </w:tcPr>
          <w:p w14:paraId="78A74071" w14:textId="22E40D9F" w:rsidR="000E6790" w:rsidRDefault="00357FC7" w:rsidP="004A6E2D">
            <w:r>
              <w:t>calculated</w:t>
            </w:r>
          </w:p>
        </w:tc>
      </w:tr>
      <w:tr w:rsidR="000E6790" w14:paraId="406C69CC" w14:textId="77777777" w:rsidTr="00CD0AD4">
        <w:tc>
          <w:tcPr>
            <w:tcW w:w="1870" w:type="dxa"/>
          </w:tcPr>
          <w:p w14:paraId="4916A9E7" w14:textId="0714B024" w:rsidR="000E6790" w:rsidRDefault="00E92FDC" w:rsidP="004A6E2D">
            <w:pPr>
              <w:rPr>
                <w:rFonts w:ascii="Aptos" w:eastAsia="Aptos" w:hAnsi="Aptos" w:cs="Times New Roman"/>
              </w:rPr>
            </w:pPr>
            <m:oMathPara>
              <m:oMath>
                <m:r>
                  <w:rPr>
                    <w:rFonts w:ascii="Cambria Math" w:eastAsiaTheme="minorEastAsia" w:hAnsi="Cambria Math"/>
                  </w:rPr>
                  <m:t>a</m:t>
                </m:r>
              </m:oMath>
            </m:oMathPara>
          </w:p>
        </w:tc>
        <w:tc>
          <w:tcPr>
            <w:tcW w:w="1870" w:type="dxa"/>
          </w:tcPr>
          <w:p w14:paraId="0580D019" w14:textId="3447DF74" w:rsidR="000E6790" w:rsidRDefault="004C419E" w:rsidP="004A6E2D">
            <w:r w:rsidRPr="00984316">
              <w:rPr>
                <w:rFonts w:eastAsiaTheme="minorEastAsia"/>
              </w:rPr>
              <w:t>scaling coefficient</w:t>
            </w:r>
          </w:p>
        </w:tc>
        <w:tc>
          <w:tcPr>
            <w:tcW w:w="1870" w:type="dxa"/>
          </w:tcPr>
          <w:p w14:paraId="39BC0601" w14:textId="20153504" w:rsidR="000E6790" w:rsidRDefault="00357FC7" w:rsidP="004A6E2D">
            <w:r>
              <w:t>0.28</w:t>
            </w:r>
          </w:p>
        </w:tc>
        <w:tc>
          <w:tcPr>
            <w:tcW w:w="1870" w:type="dxa"/>
          </w:tcPr>
          <w:p w14:paraId="7D3F33AB" w14:textId="47D8B5F6" w:rsidR="000E6790" w:rsidRDefault="00A63CA8" w:rsidP="004A6E2D">
            <w:r>
              <w:t>gC gC</w:t>
            </w:r>
            <w:r w:rsidRPr="00A168EB">
              <w:rPr>
                <w:vertAlign w:val="superscript"/>
              </w:rPr>
              <w:t>-1</w:t>
            </w:r>
          </w:p>
        </w:tc>
        <w:tc>
          <w:tcPr>
            <w:tcW w:w="1870" w:type="dxa"/>
          </w:tcPr>
          <w:p w14:paraId="7CAE291E" w14:textId="0A88354C" w:rsidR="000E6790" w:rsidRDefault="0075166E" w:rsidP="004A6E2D">
            <w:r w:rsidRPr="00984316">
              <w:rPr>
                <w:rFonts w:eastAsiaTheme="minorEastAsia"/>
              </w:rPr>
              <w:t xml:space="preserve"> </w:t>
            </w:r>
            <w:r w:rsidRPr="00984316">
              <w:rPr>
                <w:rFonts w:eastAsiaTheme="minorEastAsia"/>
              </w:rPr>
              <w:fldChar w:fldCharType="begin"/>
            </w:r>
            <w:r w:rsidR="00263CBE">
              <w:rPr>
                <w:rFonts w:eastAsiaTheme="minorEastAsia"/>
              </w:rPr>
              <w:instrText xml:space="preserve"> ADDIN ZOTERO_ITEM CSL_CITATION {"citationID":"5qq8QyUe","properties":{"formattedCitation":"(Chakrawal et al., 2024)","plainCitation":"(Chakrawal et al., 2024)","noteIndex":0},"citationItems":[{"id":8762,"uris":["http://zotero.org/users/5408042/items/YYJUMP3T"],"itemData":{"id":8762,"type":"article-journal","abstract":"A large fraction of plant litter comprises recalcitrant aromatic compounds (lignin and other phenolics). Quantifying the fate of aromatic compounds is difficult, because oxidative degradation of aromatic carbon (C) is a costly but necessary endeavor for microorganisms, and we do not know when gains from the decomposition of aromatic C outweigh energetic costs. To evaluate these tradeoffs, we developed a litter decomposition model in which the aromatic C decomposition rate is optimized dynamically to maximize microbial growth for the given costs of maintaining ligninolytic activity. We tested model performance against &gt; 200 litter decomposition datasets collected from published literature and assessed the effects of climate and litter chemistry on litter decomposition. The model predicted a time-varying ligninolytic oxidation rate, which was used to calculate the lag time before the decomposition of aromatic C is initiated. Warmer conditions increased decomposition rates, shortened the lag time of aromatic C oxidation, and improved microbial C-use efficiency by decreasing the costs of oxidation. Moreover, a higher initial content of aromatic C promoted an earlier start of aromatic C decomposition under any climate. With this contribution, we highlight the application of eco-evolutionary approaches based on optimized microbial life strategies as an alternative parametrization scheme for litter decomposition models.","container-title":"New Phytologist","DOI":"10.1111/nph.19572","ISSN":"1469-8137","issue":"n/a","language":"en","license":"© 2024 The Authors. New Phytologist © 2024 New Phytologist Foundation","note":"_eprint: https://onlinelibrary.wiley.com/doi/pdf/10.1111/nph.19572","source":"Wiley Online Library","title":"Modelling optimal ligninolytic activity during plant litter decomposition","URL":"https://onlinelibrary.wiley.com/doi/abs/10.1111/nph.19572","volume":"n/a","author":[{"family":"Chakrawal","given":"Arjun"},{"family":"Lindahl","given":"Björn D."},{"family":"Manzoni","given":"Stefano"}],"accessed":{"date-parts":[["2024",2,13]]},"issued":{"date-parts":[["2024",2,11]]},"citation-key":"chakrawalModellingOptimalLigninolytic2024"}}],"schema":"https://github.com/citation-style-language/schema/raw/master/csl-citation.json"} </w:instrText>
            </w:r>
            <w:r w:rsidRPr="00984316">
              <w:rPr>
                <w:rFonts w:eastAsiaTheme="minorEastAsia"/>
              </w:rPr>
              <w:fldChar w:fldCharType="separate"/>
            </w:r>
            <w:r w:rsidR="00263CBE" w:rsidRPr="00263CBE">
              <w:rPr>
                <w:rFonts w:ascii="Calibri" w:hAnsi="Calibri" w:cs="Calibri"/>
              </w:rPr>
              <w:t>(Chakrawal et al., 2024)</w:t>
            </w:r>
            <w:r w:rsidRPr="00984316">
              <w:rPr>
                <w:rFonts w:eastAsiaTheme="minorEastAsia"/>
              </w:rPr>
              <w:fldChar w:fldCharType="end"/>
            </w:r>
          </w:p>
        </w:tc>
      </w:tr>
    </w:tbl>
    <w:p w14:paraId="40C5FF90" w14:textId="77777777" w:rsidR="00D903C9" w:rsidRDefault="00D903C9" w:rsidP="004A6E2D"/>
    <w:p w14:paraId="670D4310" w14:textId="77777777" w:rsidR="00D903C9" w:rsidRPr="004A6E2D" w:rsidRDefault="00D903C9" w:rsidP="004A6E2D"/>
    <w:p w14:paraId="259C9A77" w14:textId="23321EDE" w:rsidR="00E24488" w:rsidRDefault="00E24488" w:rsidP="00E24488">
      <w:pPr>
        <w:pStyle w:val="Caption"/>
        <w:keepNext/>
      </w:pPr>
      <w:r>
        <w:t xml:space="preserve">Table </w:t>
      </w:r>
      <w:r w:rsidR="008F6ED3">
        <w:t>S</w:t>
      </w:r>
      <w:r>
        <w:fldChar w:fldCharType="begin"/>
      </w:r>
      <w:r>
        <w:instrText xml:space="preserve"> SEQ Table \* ARABIC </w:instrText>
      </w:r>
      <w:r>
        <w:fldChar w:fldCharType="separate"/>
      </w:r>
      <w:r w:rsidR="00AB53EC">
        <w:rPr>
          <w:noProof/>
        </w:rPr>
        <w:t>3</w:t>
      </w:r>
      <w:r>
        <w:fldChar w:fldCharType="end"/>
      </w:r>
      <w:r>
        <w:t xml:space="preserve"> Initial </w:t>
      </w:r>
      <w:r w:rsidR="0025327E">
        <w:t>fraction of carbon in five fractions</w:t>
      </w:r>
      <w:r>
        <w:t xml:space="preserve"> for </w:t>
      </w:r>
      <w:r w:rsidR="0025327E">
        <w:t>six litter types in Figure 2.</w:t>
      </w:r>
      <w:r>
        <w:t xml:space="preserve"> </w:t>
      </w:r>
    </w:p>
    <w:tbl>
      <w:tblPr>
        <w:tblStyle w:val="TableGridLight"/>
        <w:tblW w:w="0" w:type="auto"/>
        <w:tblLayout w:type="fixed"/>
        <w:tblLook w:val="04A0" w:firstRow="1" w:lastRow="0" w:firstColumn="1" w:lastColumn="0" w:noHBand="0" w:noVBand="1"/>
      </w:tblPr>
      <w:tblGrid>
        <w:gridCol w:w="1345"/>
        <w:gridCol w:w="900"/>
        <w:gridCol w:w="1440"/>
        <w:gridCol w:w="630"/>
        <w:gridCol w:w="1007"/>
        <w:gridCol w:w="973"/>
        <w:gridCol w:w="1080"/>
        <w:gridCol w:w="900"/>
        <w:gridCol w:w="1075"/>
      </w:tblGrid>
      <w:tr w:rsidR="00F343B9" w:rsidRPr="00F343B9" w14:paraId="7E0802F9" w14:textId="77777777" w:rsidTr="002B64C2">
        <w:trPr>
          <w:trHeight w:val="600"/>
        </w:trPr>
        <w:tc>
          <w:tcPr>
            <w:tcW w:w="1345" w:type="dxa"/>
            <w:hideMark/>
          </w:tcPr>
          <w:p w14:paraId="4E078479" w14:textId="77777777" w:rsidR="00F343B9" w:rsidRPr="00F343B9" w:rsidRDefault="00F343B9" w:rsidP="00F343B9">
            <w:pPr>
              <w:jc w:val="center"/>
              <w:rPr>
                <w:rFonts w:ascii="Calibri" w:eastAsia="Times New Roman" w:hAnsi="Calibri" w:cs="Calibri"/>
                <w:b/>
                <w:bCs/>
                <w:kern w:val="0"/>
                <w14:ligatures w14:val="none"/>
              </w:rPr>
            </w:pPr>
            <w:r w:rsidRPr="00F343B9">
              <w:rPr>
                <w:rFonts w:ascii="Calibri" w:eastAsia="Times New Roman" w:hAnsi="Calibri" w:cs="Calibri"/>
                <w:b/>
                <w:bCs/>
                <w:kern w:val="0"/>
                <w14:ligatures w14:val="none"/>
              </w:rPr>
              <w:t>Study</w:t>
            </w:r>
          </w:p>
        </w:tc>
        <w:tc>
          <w:tcPr>
            <w:tcW w:w="900" w:type="dxa"/>
            <w:hideMark/>
          </w:tcPr>
          <w:p w14:paraId="1172029B" w14:textId="77777777" w:rsidR="00F343B9" w:rsidRPr="00F343B9" w:rsidRDefault="00F343B9" w:rsidP="00F343B9">
            <w:pPr>
              <w:jc w:val="center"/>
              <w:rPr>
                <w:rFonts w:ascii="Calibri" w:eastAsia="Times New Roman" w:hAnsi="Calibri" w:cs="Calibri"/>
                <w:b/>
                <w:bCs/>
                <w:kern w:val="0"/>
                <w14:ligatures w14:val="none"/>
              </w:rPr>
            </w:pPr>
            <w:r w:rsidRPr="00F343B9">
              <w:rPr>
                <w:rFonts w:ascii="Calibri" w:eastAsia="Times New Roman" w:hAnsi="Calibri" w:cs="Calibri"/>
                <w:b/>
                <w:bCs/>
                <w:kern w:val="0"/>
                <w14:ligatures w14:val="none"/>
              </w:rPr>
              <w:t>Litter type</w:t>
            </w:r>
          </w:p>
        </w:tc>
        <w:tc>
          <w:tcPr>
            <w:tcW w:w="1440" w:type="dxa"/>
            <w:hideMark/>
          </w:tcPr>
          <w:p w14:paraId="5DDAB652" w14:textId="77777777" w:rsidR="00F343B9" w:rsidRPr="00F343B9" w:rsidRDefault="00F343B9" w:rsidP="00F343B9">
            <w:pPr>
              <w:jc w:val="center"/>
              <w:rPr>
                <w:rFonts w:ascii="Calibri" w:eastAsia="Times New Roman" w:hAnsi="Calibri" w:cs="Calibri"/>
                <w:b/>
                <w:bCs/>
                <w:kern w:val="0"/>
                <w14:ligatures w14:val="none"/>
              </w:rPr>
            </w:pPr>
            <w:r w:rsidRPr="00F343B9">
              <w:rPr>
                <w:rFonts w:ascii="Calibri" w:eastAsia="Times New Roman" w:hAnsi="Calibri" w:cs="Calibri"/>
                <w:b/>
                <w:bCs/>
                <w:kern w:val="0"/>
                <w14:ligatures w14:val="none"/>
              </w:rPr>
              <w:t>Species</w:t>
            </w:r>
          </w:p>
        </w:tc>
        <w:tc>
          <w:tcPr>
            <w:tcW w:w="630" w:type="dxa"/>
            <w:hideMark/>
          </w:tcPr>
          <w:p w14:paraId="2A91429B" w14:textId="77777777" w:rsidR="00F343B9" w:rsidRPr="00F343B9" w:rsidRDefault="00F343B9" w:rsidP="00F343B9">
            <w:pPr>
              <w:jc w:val="center"/>
              <w:rPr>
                <w:rFonts w:ascii="Calibri" w:eastAsia="Times New Roman" w:hAnsi="Calibri" w:cs="Calibri"/>
                <w:b/>
                <w:bCs/>
                <w:kern w:val="0"/>
                <w14:ligatures w14:val="none"/>
              </w:rPr>
            </w:pPr>
            <w:r w:rsidRPr="00F343B9">
              <w:rPr>
                <w:rFonts w:ascii="Calibri" w:eastAsia="Times New Roman" w:hAnsi="Calibri" w:cs="Calibri"/>
                <w:b/>
                <w:bCs/>
                <w:kern w:val="0"/>
                <w14:ligatures w14:val="none"/>
              </w:rPr>
              <w:t>C:N</w:t>
            </w:r>
          </w:p>
        </w:tc>
        <w:tc>
          <w:tcPr>
            <w:tcW w:w="1007" w:type="dxa"/>
            <w:hideMark/>
          </w:tcPr>
          <w:p w14:paraId="21B4ED7B" w14:textId="77777777" w:rsidR="00F343B9" w:rsidRPr="00F343B9" w:rsidRDefault="00F343B9" w:rsidP="00F343B9">
            <w:pPr>
              <w:jc w:val="center"/>
              <w:rPr>
                <w:rFonts w:ascii="Calibri" w:eastAsia="Times New Roman" w:hAnsi="Calibri" w:cs="Calibri"/>
                <w:b/>
                <w:bCs/>
                <w:kern w:val="0"/>
                <w14:ligatures w14:val="none"/>
              </w:rPr>
            </w:pPr>
            <w:r w:rsidRPr="00F343B9">
              <w:rPr>
                <w:rFonts w:ascii="Calibri" w:eastAsia="Times New Roman" w:hAnsi="Calibri" w:cs="Calibri"/>
                <w:b/>
                <w:bCs/>
                <w:kern w:val="0"/>
                <w14:ligatures w14:val="none"/>
              </w:rPr>
              <w:t>Carbohydrate [gC/gC]</w:t>
            </w:r>
          </w:p>
        </w:tc>
        <w:tc>
          <w:tcPr>
            <w:tcW w:w="973" w:type="dxa"/>
            <w:hideMark/>
          </w:tcPr>
          <w:p w14:paraId="350751DD" w14:textId="77777777" w:rsidR="00F343B9" w:rsidRPr="00F343B9" w:rsidRDefault="00F343B9" w:rsidP="00F343B9">
            <w:pPr>
              <w:jc w:val="center"/>
              <w:rPr>
                <w:rFonts w:ascii="Calibri" w:eastAsia="Times New Roman" w:hAnsi="Calibri" w:cs="Calibri"/>
                <w:b/>
                <w:bCs/>
                <w:kern w:val="0"/>
                <w14:ligatures w14:val="none"/>
              </w:rPr>
            </w:pPr>
            <w:r w:rsidRPr="00F343B9">
              <w:rPr>
                <w:rFonts w:ascii="Calibri" w:eastAsia="Times New Roman" w:hAnsi="Calibri" w:cs="Calibri"/>
                <w:b/>
                <w:bCs/>
                <w:kern w:val="0"/>
                <w14:ligatures w14:val="none"/>
              </w:rPr>
              <w:t>Protein [gC/gC]</w:t>
            </w:r>
          </w:p>
        </w:tc>
        <w:tc>
          <w:tcPr>
            <w:tcW w:w="1080" w:type="dxa"/>
            <w:hideMark/>
          </w:tcPr>
          <w:p w14:paraId="74DC5E61" w14:textId="77777777" w:rsidR="00F343B9" w:rsidRPr="00F343B9" w:rsidRDefault="00F343B9" w:rsidP="00F343B9">
            <w:pPr>
              <w:jc w:val="center"/>
              <w:rPr>
                <w:rFonts w:ascii="Calibri" w:eastAsia="Times New Roman" w:hAnsi="Calibri" w:cs="Calibri"/>
                <w:b/>
                <w:bCs/>
                <w:kern w:val="0"/>
                <w14:ligatures w14:val="none"/>
              </w:rPr>
            </w:pPr>
            <w:r w:rsidRPr="00F343B9">
              <w:rPr>
                <w:rFonts w:ascii="Calibri" w:eastAsia="Times New Roman" w:hAnsi="Calibri" w:cs="Calibri"/>
                <w:b/>
                <w:bCs/>
                <w:kern w:val="0"/>
                <w14:ligatures w14:val="none"/>
              </w:rPr>
              <w:t>Lignin [gC/gC]</w:t>
            </w:r>
          </w:p>
        </w:tc>
        <w:tc>
          <w:tcPr>
            <w:tcW w:w="900" w:type="dxa"/>
            <w:hideMark/>
          </w:tcPr>
          <w:p w14:paraId="451D99F0" w14:textId="77777777" w:rsidR="00F343B9" w:rsidRPr="00F343B9" w:rsidRDefault="00F343B9" w:rsidP="00F343B9">
            <w:pPr>
              <w:jc w:val="center"/>
              <w:rPr>
                <w:rFonts w:ascii="Calibri" w:eastAsia="Times New Roman" w:hAnsi="Calibri" w:cs="Calibri"/>
                <w:b/>
                <w:bCs/>
                <w:kern w:val="0"/>
                <w14:ligatures w14:val="none"/>
              </w:rPr>
            </w:pPr>
            <w:r w:rsidRPr="00F343B9">
              <w:rPr>
                <w:rFonts w:ascii="Calibri" w:eastAsia="Times New Roman" w:hAnsi="Calibri" w:cs="Calibri"/>
                <w:b/>
                <w:bCs/>
                <w:kern w:val="0"/>
                <w14:ligatures w14:val="none"/>
              </w:rPr>
              <w:t>Lipid [gC/gC]</w:t>
            </w:r>
          </w:p>
        </w:tc>
        <w:tc>
          <w:tcPr>
            <w:tcW w:w="1075" w:type="dxa"/>
            <w:hideMark/>
          </w:tcPr>
          <w:p w14:paraId="1BA758D7" w14:textId="77777777" w:rsidR="00F343B9" w:rsidRPr="00F343B9" w:rsidRDefault="00F343B9" w:rsidP="00F343B9">
            <w:pPr>
              <w:jc w:val="center"/>
              <w:rPr>
                <w:rFonts w:ascii="Calibri" w:eastAsia="Times New Roman" w:hAnsi="Calibri" w:cs="Calibri"/>
                <w:b/>
                <w:bCs/>
                <w:kern w:val="0"/>
                <w14:ligatures w14:val="none"/>
              </w:rPr>
            </w:pPr>
            <w:r w:rsidRPr="00F343B9">
              <w:rPr>
                <w:rFonts w:ascii="Calibri" w:eastAsia="Times New Roman" w:hAnsi="Calibri" w:cs="Calibri"/>
                <w:b/>
                <w:bCs/>
                <w:kern w:val="0"/>
                <w14:ligatures w14:val="none"/>
              </w:rPr>
              <w:t>Carbonyl [gC/gC]</w:t>
            </w:r>
          </w:p>
        </w:tc>
      </w:tr>
      <w:tr w:rsidR="00F343B9" w:rsidRPr="00F343B9" w14:paraId="382BE83A" w14:textId="77777777" w:rsidTr="002B64C2">
        <w:trPr>
          <w:trHeight w:val="300"/>
        </w:trPr>
        <w:tc>
          <w:tcPr>
            <w:tcW w:w="1345" w:type="dxa"/>
            <w:noWrap/>
            <w:hideMark/>
          </w:tcPr>
          <w:p w14:paraId="1467069E" w14:textId="77777777" w:rsidR="00F343B9" w:rsidRPr="00F343B9" w:rsidRDefault="00F343B9" w:rsidP="00F343B9">
            <w:pPr>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Li et al 2020</w:t>
            </w:r>
          </w:p>
        </w:tc>
        <w:tc>
          <w:tcPr>
            <w:tcW w:w="900" w:type="dxa"/>
            <w:noWrap/>
            <w:hideMark/>
          </w:tcPr>
          <w:p w14:paraId="4F758E20" w14:textId="77777777" w:rsidR="00F343B9" w:rsidRPr="00F343B9" w:rsidRDefault="00F343B9" w:rsidP="00F343B9">
            <w:pPr>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Crop residue</w:t>
            </w:r>
          </w:p>
        </w:tc>
        <w:tc>
          <w:tcPr>
            <w:tcW w:w="1440" w:type="dxa"/>
            <w:noWrap/>
            <w:hideMark/>
          </w:tcPr>
          <w:p w14:paraId="6BDA3A56" w14:textId="59486C62" w:rsidR="00F343B9" w:rsidRPr="00F343B9" w:rsidRDefault="00F343B9" w:rsidP="00F343B9">
            <w:pPr>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Wheat</w:t>
            </w:r>
          </w:p>
        </w:tc>
        <w:tc>
          <w:tcPr>
            <w:tcW w:w="630" w:type="dxa"/>
            <w:noWrap/>
            <w:hideMark/>
          </w:tcPr>
          <w:p w14:paraId="2DFCF7D8" w14:textId="77777777" w:rsidR="00F343B9" w:rsidRPr="00F343B9" w:rsidRDefault="00F343B9" w:rsidP="00F343B9">
            <w:pPr>
              <w:jc w:val="right"/>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53.5</w:t>
            </w:r>
          </w:p>
        </w:tc>
        <w:tc>
          <w:tcPr>
            <w:tcW w:w="1007" w:type="dxa"/>
            <w:noWrap/>
            <w:hideMark/>
          </w:tcPr>
          <w:p w14:paraId="5CBCE405" w14:textId="77777777" w:rsidR="00F343B9" w:rsidRPr="00F343B9" w:rsidRDefault="00F343B9" w:rsidP="00F343B9">
            <w:pPr>
              <w:jc w:val="right"/>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0.747</w:t>
            </w:r>
          </w:p>
        </w:tc>
        <w:tc>
          <w:tcPr>
            <w:tcW w:w="973" w:type="dxa"/>
            <w:noWrap/>
            <w:hideMark/>
          </w:tcPr>
          <w:p w14:paraId="558489C1" w14:textId="77777777" w:rsidR="00F343B9" w:rsidRPr="00F343B9" w:rsidRDefault="00F343B9" w:rsidP="00F343B9">
            <w:pPr>
              <w:jc w:val="right"/>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0.059</w:t>
            </w:r>
          </w:p>
        </w:tc>
        <w:tc>
          <w:tcPr>
            <w:tcW w:w="1080" w:type="dxa"/>
            <w:noWrap/>
            <w:hideMark/>
          </w:tcPr>
          <w:p w14:paraId="58A58734" w14:textId="77777777" w:rsidR="00F343B9" w:rsidRPr="00F343B9" w:rsidRDefault="00F343B9" w:rsidP="00F343B9">
            <w:pPr>
              <w:jc w:val="right"/>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0.119</w:t>
            </w:r>
          </w:p>
        </w:tc>
        <w:tc>
          <w:tcPr>
            <w:tcW w:w="900" w:type="dxa"/>
            <w:noWrap/>
            <w:hideMark/>
          </w:tcPr>
          <w:p w14:paraId="6140CAC7" w14:textId="77777777" w:rsidR="00F343B9" w:rsidRPr="00F343B9" w:rsidRDefault="00F343B9" w:rsidP="00F343B9">
            <w:pPr>
              <w:jc w:val="right"/>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0.057</w:t>
            </w:r>
          </w:p>
        </w:tc>
        <w:tc>
          <w:tcPr>
            <w:tcW w:w="1075" w:type="dxa"/>
            <w:noWrap/>
            <w:hideMark/>
          </w:tcPr>
          <w:p w14:paraId="0DB01BEC" w14:textId="77777777" w:rsidR="00F343B9" w:rsidRPr="00F343B9" w:rsidRDefault="00F343B9" w:rsidP="00F343B9">
            <w:pPr>
              <w:jc w:val="right"/>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0.017</w:t>
            </w:r>
          </w:p>
        </w:tc>
      </w:tr>
      <w:tr w:rsidR="00F343B9" w:rsidRPr="00F343B9" w14:paraId="40669CAD" w14:textId="77777777" w:rsidTr="002B64C2">
        <w:trPr>
          <w:trHeight w:val="300"/>
        </w:trPr>
        <w:tc>
          <w:tcPr>
            <w:tcW w:w="1345" w:type="dxa"/>
            <w:noWrap/>
            <w:hideMark/>
          </w:tcPr>
          <w:p w14:paraId="0778DB74" w14:textId="77777777" w:rsidR="00F343B9" w:rsidRPr="00F343B9" w:rsidRDefault="00F343B9" w:rsidP="00F343B9">
            <w:pPr>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Bonanomi et al 2013</w:t>
            </w:r>
          </w:p>
        </w:tc>
        <w:tc>
          <w:tcPr>
            <w:tcW w:w="900" w:type="dxa"/>
            <w:noWrap/>
            <w:hideMark/>
          </w:tcPr>
          <w:p w14:paraId="4287B793" w14:textId="77777777" w:rsidR="00F343B9" w:rsidRPr="00F343B9" w:rsidRDefault="00F343B9" w:rsidP="00F343B9">
            <w:pPr>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Grass</w:t>
            </w:r>
          </w:p>
        </w:tc>
        <w:tc>
          <w:tcPr>
            <w:tcW w:w="1440" w:type="dxa"/>
            <w:noWrap/>
            <w:hideMark/>
          </w:tcPr>
          <w:p w14:paraId="6B9A5259" w14:textId="77777777" w:rsidR="00F343B9" w:rsidRPr="00F343B9" w:rsidRDefault="00F343B9" w:rsidP="00F343B9">
            <w:pPr>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A. mauritanicus</w:t>
            </w:r>
          </w:p>
        </w:tc>
        <w:tc>
          <w:tcPr>
            <w:tcW w:w="630" w:type="dxa"/>
            <w:noWrap/>
            <w:hideMark/>
          </w:tcPr>
          <w:p w14:paraId="1A561945" w14:textId="77777777" w:rsidR="00F343B9" w:rsidRPr="00F343B9" w:rsidRDefault="00F343B9" w:rsidP="00F343B9">
            <w:pPr>
              <w:jc w:val="right"/>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40.1</w:t>
            </w:r>
          </w:p>
        </w:tc>
        <w:tc>
          <w:tcPr>
            <w:tcW w:w="1007" w:type="dxa"/>
            <w:noWrap/>
            <w:hideMark/>
          </w:tcPr>
          <w:p w14:paraId="74142622" w14:textId="77777777" w:rsidR="00F343B9" w:rsidRPr="00F343B9" w:rsidRDefault="00F343B9" w:rsidP="00F343B9">
            <w:pPr>
              <w:jc w:val="right"/>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0.600</w:t>
            </w:r>
          </w:p>
        </w:tc>
        <w:tc>
          <w:tcPr>
            <w:tcW w:w="973" w:type="dxa"/>
            <w:noWrap/>
            <w:hideMark/>
          </w:tcPr>
          <w:p w14:paraId="4407DDCA" w14:textId="77777777" w:rsidR="00F343B9" w:rsidRPr="00F343B9" w:rsidRDefault="00F343B9" w:rsidP="00F343B9">
            <w:pPr>
              <w:jc w:val="right"/>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0.079</w:t>
            </w:r>
          </w:p>
        </w:tc>
        <w:tc>
          <w:tcPr>
            <w:tcW w:w="1080" w:type="dxa"/>
            <w:noWrap/>
            <w:hideMark/>
          </w:tcPr>
          <w:p w14:paraId="7CD45689" w14:textId="77777777" w:rsidR="00F343B9" w:rsidRPr="00F343B9" w:rsidRDefault="00F343B9" w:rsidP="00F343B9">
            <w:pPr>
              <w:jc w:val="right"/>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0.238</w:t>
            </w:r>
          </w:p>
        </w:tc>
        <w:tc>
          <w:tcPr>
            <w:tcW w:w="900" w:type="dxa"/>
            <w:noWrap/>
            <w:hideMark/>
          </w:tcPr>
          <w:p w14:paraId="7908C2E6" w14:textId="77777777" w:rsidR="00F343B9" w:rsidRPr="00F343B9" w:rsidRDefault="00F343B9" w:rsidP="00F343B9">
            <w:pPr>
              <w:jc w:val="right"/>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0.059</w:t>
            </w:r>
          </w:p>
        </w:tc>
        <w:tc>
          <w:tcPr>
            <w:tcW w:w="1075" w:type="dxa"/>
            <w:noWrap/>
            <w:hideMark/>
          </w:tcPr>
          <w:p w14:paraId="6029D894" w14:textId="77777777" w:rsidR="00F343B9" w:rsidRPr="00F343B9" w:rsidRDefault="00F343B9" w:rsidP="00F343B9">
            <w:pPr>
              <w:jc w:val="right"/>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0.024</w:t>
            </w:r>
          </w:p>
        </w:tc>
      </w:tr>
      <w:tr w:rsidR="00F343B9" w:rsidRPr="00F343B9" w14:paraId="0CA8A8F2" w14:textId="77777777" w:rsidTr="002B64C2">
        <w:trPr>
          <w:trHeight w:val="300"/>
        </w:trPr>
        <w:tc>
          <w:tcPr>
            <w:tcW w:w="1345" w:type="dxa"/>
            <w:noWrap/>
            <w:hideMark/>
          </w:tcPr>
          <w:p w14:paraId="3B957CCD" w14:textId="77777777" w:rsidR="00F343B9" w:rsidRPr="00F343B9" w:rsidRDefault="00F343B9" w:rsidP="00F343B9">
            <w:pPr>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Bonanomi et al 2013</w:t>
            </w:r>
          </w:p>
        </w:tc>
        <w:tc>
          <w:tcPr>
            <w:tcW w:w="900" w:type="dxa"/>
            <w:noWrap/>
            <w:hideMark/>
          </w:tcPr>
          <w:p w14:paraId="70E1AA26" w14:textId="77777777" w:rsidR="00F343B9" w:rsidRPr="00F343B9" w:rsidRDefault="00F343B9" w:rsidP="00F343B9">
            <w:pPr>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Leaf</w:t>
            </w:r>
          </w:p>
        </w:tc>
        <w:tc>
          <w:tcPr>
            <w:tcW w:w="1440" w:type="dxa"/>
            <w:noWrap/>
            <w:hideMark/>
          </w:tcPr>
          <w:p w14:paraId="1C49604E" w14:textId="77777777" w:rsidR="00F343B9" w:rsidRPr="00F343B9" w:rsidRDefault="00F343B9" w:rsidP="00F343B9">
            <w:pPr>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A. unedo</w:t>
            </w:r>
          </w:p>
        </w:tc>
        <w:tc>
          <w:tcPr>
            <w:tcW w:w="630" w:type="dxa"/>
            <w:noWrap/>
            <w:hideMark/>
          </w:tcPr>
          <w:p w14:paraId="46004469" w14:textId="77777777" w:rsidR="00F343B9" w:rsidRPr="00F343B9" w:rsidRDefault="00F343B9" w:rsidP="00F343B9">
            <w:pPr>
              <w:jc w:val="right"/>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25.2</w:t>
            </w:r>
          </w:p>
        </w:tc>
        <w:tc>
          <w:tcPr>
            <w:tcW w:w="1007" w:type="dxa"/>
            <w:noWrap/>
            <w:hideMark/>
          </w:tcPr>
          <w:p w14:paraId="134D5334" w14:textId="77777777" w:rsidR="00F343B9" w:rsidRPr="00F343B9" w:rsidRDefault="00F343B9" w:rsidP="00F343B9">
            <w:pPr>
              <w:jc w:val="right"/>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0.359</w:t>
            </w:r>
          </w:p>
        </w:tc>
        <w:tc>
          <w:tcPr>
            <w:tcW w:w="973" w:type="dxa"/>
            <w:noWrap/>
            <w:hideMark/>
          </w:tcPr>
          <w:p w14:paraId="187DAA50" w14:textId="77777777" w:rsidR="00F343B9" w:rsidRPr="00F343B9" w:rsidRDefault="00F343B9" w:rsidP="00F343B9">
            <w:pPr>
              <w:jc w:val="right"/>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0.126</w:t>
            </w:r>
          </w:p>
        </w:tc>
        <w:tc>
          <w:tcPr>
            <w:tcW w:w="1080" w:type="dxa"/>
            <w:noWrap/>
            <w:hideMark/>
          </w:tcPr>
          <w:p w14:paraId="27FB9049" w14:textId="77777777" w:rsidR="00F343B9" w:rsidRPr="00F343B9" w:rsidRDefault="00F343B9" w:rsidP="00F343B9">
            <w:pPr>
              <w:jc w:val="right"/>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0.296</w:t>
            </w:r>
          </w:p>
        </w:tc>
        <w:tc>
          <w:tcPr>
            <w:tcW w:w="900" w:type="dxa"/>
            <w:noWrap/>
            <w:hideMark/>
          </w:tcPr>
          <w:p w14:paraId="78DB1676" w14:textId="77777777" w:rsidR="00F343B9" w:rsidRPr="00F343B9" w:rsidRDefault="00F343B9" w:rsidP="00F343B9">
            <w:pPr>
              <w:jc w:val="right"/>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0.197</w:t>
            </w:r>
          </w:p>
        </w:tc>
        <w:tc>
          <w:tcPr>
            <w:tcW w:w="1075" w:type="dxa"/>
            <w:noWrap/>
            <w:hideMark/>
          </w:tcPr>
          <w:p w14:paraId="07F993D3" w14:textId="77777777" w:rsidR="00F343B9" w:rsidRPr="00F343B9" w:rsidRDefault="00F343B9" w:rsidP="00F343B9">
            <w:pPr>
              <w:jc w:val="right"/>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0.022</w:t>
            </w:r>
          </w:p>
        </w:tc>
      </w:tr>
      <w:tr w:rsidR="00F343B9" w:rsidRPr="00F343B9" w14:paraId="24D952EB" w14:textId="77777777" w:rsidTr="002B64C2">
        <w:trPr>
          <w:trHeight w:val="300"/>
        </w:trPr>
        <w:tc>
          <w:tcPr>
            <w:tcW w:w="1345" w:type="dxa"/>
            <w:noWrap/>
            <w:hideMark/>
          </w:tcPr>
          <w:p w14:paraId="3D661498" w14:textId="77777777" w:rsidR="00F343B9" w:rsidRPr="00F343B9" w:rsidRDefault="00F343B9" w:rsidP="00F343B9">
            <w:pPr>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Almendros et al 2000</w:t>
            </w:r>
          </w:p>
        </w:tc>
        <w:tc>
          <w:tcPr>
            <w:tcW w:w="900" w:type="dxa"/>
            <w:noWrap/>
            <w:hideMark/>
          </w:tcPr>
          <w:p w14:paraId="1030EC67" w14:textId="77777777" w:rsidR="00F343B9" w:rsidRPr="00F343B9" w:rsidRDefault="00F343B9" w:rsidP="00F343B9">
            <w:pPr>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Needle</w:t>
            </w:r>
          </w:p>
        </w:tc>
        <w:tc>
          <w:tcPr>
            <w:tcW w:w="1440" w:type="dxa"/>
            <w:noWrap/>
            <w:hideMark/>
          </w:tcPr>
          <w:p w14:paraId="3FE9F573" w14:textId="77777777" w:rsidR="00F343B9" w:rsidRPr="00F343B9" w:rsidRDefault="00F343B9" w:rsidP="00F343B9">
            <w:pPr>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Pinus radiata</w:t>
            </w:r>
          </w:p>
        </w:tc>
        <w:tc>
          <w:tcPr>
            <w:tcW w:w="630" w:type="dxa"/>
            <w:noWrap/>
            <w:hideMark/>
          </w:tcPr>
          <w:p w14:paraId="0D7A01F1" w14:textId="77777777" w:rsidR="00F343B9" w:rsidRPr="00F343B9" w:rsidRDefault="00F343B9" w:rsidP="00F343B9">
            <w:pPr>
              <w:jc w:val="right"/>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37.3</w:t>
            </w:r>
          </w:p>
        </w:tc>
        <w:tc>
          <w:tcPr>
            <w:tcW w:w="1007" w:type="dxa"/>
            <w:noWrap/>
            <w:hideMark/>
          </w:tcPr>
          <w:p w14:paraId="1CA920C4" w14:textId="77777777" w:rsidR="00F343B9" w:rsidRPr="00F343B9" w:rsidRDefault="00F343B9" w:rsidP="00F343B9">
            <w:pPr>
              <w:jc w:val="right"/>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0.376</w:t>
            </w:r>
          </w:p>
        </w:tc>
        <w:tc>
          <w:tcPr>
            <w:tcW w:w="973" w:type="dxa"/>
            <w:noWrap/>
            <w:hideMark/>
          </w:tcPr>
          <w:p w14:paraId="1F5ACB1C" w14:textId="77777777" w:rsidR="00F343B9" w:rsidRPr="00F343B9" w:rsidRDefault="00F343B9" w:rsidP="00F343B9">
            <w:pPr>
              <w:jc w:val="right"/>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0.085</w:t>
            </w:r>
          </w:p>
        </w:tc>
        <w:tc>
          <w:tcPr>
            <w:tcW w:w="1080" w:type="dxa"/>
            <w:noWrap/>
            <w:hideMark/>
          </w:tcPr>
          <w:p w14:paraId="792EA4B8" w14:textId="77777777" w:rsidR="00F343B9" w:rsidRPr="00F343B9" w:rsidRDefault="00F343B9" w:rsidP="00F343B9">
            <w:pPr>
              <w:jc w:val="right"/>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0.205</w:t>
            </w:r>
          </w:p>
        </w:tc>
        <w:tc>
          <w:tcPr>
            <w:tcW w:w="900" w:type="dxa"/>
            <w:noWrap/>
            <w:hideMark/>
          </w:tcPr>
          <w:p w14:paraId="0D7225DA" w14:textId="77777777" w:rsidR="00F343B9" w:rsidRPr="00F343B9" w:rsidRDefault="00F343B9" w:rsidP="00F343B9">
            <w:pPr>
              <w:jc w:val="right"/>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0.277</w:t>
            </w:r>
          </w:p>
        </w:tc>
        <w:tc>
          <w:tcPr>
            <w:tcW w:w="1075" w:type="dxa"/>
            <w:noWrap/>
            <w:hideMark/>
          </w:tcPr>
          <w:p w14:paraId="6F22CB2C" w14:textId="77777777" w:rsidR="00F343B9" w:rsidRPr="00F343B9" w:rsidRDefault="00F343B9" w:rsidP="00F343B9">
            <w:pPr>
              <w:jc w:val="right"/>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0.056</w:t>
            </w:r>
          </w:p>
        </w:tc>
      </w:tr>
      <w:tr w:rsidR="00F343B9" w:rsidRPr="00F343B9" w14:paraId="6FF1C545" w14:textId="77777777" w:rsidTr="002B64C2">
        <w:trPr>
          <w:trHeight w:val="300"/>
        </w:trPr>
        <w:tc>
          <w:tcPr>
            <w:tcW w:w="1345" w:type="dxa"/>
            <w:noWrap/>
            <w:hideMark/>
          </w:tcPr>
          <w:p w14:paraId="404EC5A2" w14:textId="77777777" w:rsidR="00F343B9" w:rsidRPr="00F343B9" w:rsidRDefault="00F343B9" w:rsidP="00F343B9">
            <w:pPr>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Wang et al 2013</w:t>
            </w:r>
          </w:p>
        </w:tc>
        <w:tc>
          <w:tcPr>
            <w:tcW w:w="900" w:type="dxa"/>
            <w:noWrap/>
            <w:hideMark/>
          </w:tcPr>
          <w:p w14:paraId="29009D89" w14:textId="77777777" w:rsidR="00F343B9" w:rsidRPr="00F343B9" w:rsidRDefault="00F343B9" w:rsidP="00F343B9">
            <w:pPr>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Root</w:t>
            </w:r>
          </w:p>
        </w:tc>
        <w:tc>
          <w:tcPr>
            <w:tcW w:w="1440" w:type="dxa"/>
            <w:noWrap/>
            <w:hideMark/>
          </w:tcPr>
          <w:p w14:paraId="17A867C4" w14:textId="45D3B619" w:rsidR="00F343B9" w:rsidRPr="00F343B9" w:rsidRDefault="00F343B9" w:rsidP="00F343B9">
            <w:pPr>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M. macclurei</w:t>
            </w:r>
          </w:p>
        </w:tc>
        <w:tc>
          <w:tcPr>
            <w:tcW w:w="630" w:type="dxa"/>
            <w:noWrap/>
            <w:hideMark/>
          </w:tcPr>
          <w:p w14:paraId="32A17942" w14:textId="77777777" w:rsidR="00F343B9" w:rsidRPr="00F343B9" w:rsidRDefault="00F343B9" w:rsidP="00F343B9">
            <w:pPr>
              <w:jc w:val="right"/>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38.5</w:t>
            </w:r>
          </w:p>
        </w:tc>
        <w:tc>
          <w:tcPr>
            <w:tcW w:w="1007" w:type="dxa"/>
            <w:noWrap/>
            <w:hideMark/>
          </w:tcPr>
          <w:p w14:paraId="77B5B583" w14:textId="77777777" w:rsidR="00F343B9" w:rsidRPr="00F343B9" w:rsidRDefault="00F343B9" w:rsidP="00F343B9">
            <w:pPr>
              <w:jc w:val="right"/>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0.380</w:t>
            </w:r>
          </w:p>
        </w:tc>
        <w:tc>
          <w:tcPr>
            <w:tcW w:w="973" w:type="dxa"/>
            <w:noWrap/>
            <w:hideMark/>
          </w:tcPr>
          <w:p w14:paraId="110148F2" w14:textId="77777777" w:rsidR="00F343B9" w:rsidRPr="00F343B9" w:rsidRDefault="00F343B9" w:rsidP="00F343B9">
            <w:pPr>
              <w:jc w:val="right"/>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0.082</w:t>
            </w:r>
          </w:p>
        </w:tc>
        <w:tc>
          <w:tcPr>
            <w:tcW w:w="1080" w:type="dxa"/>
            <w:noWrap/>
            <w:hideMark/>
          </w:tcPr>
          <w:p w14:paraId="7958242F" w14:textId="77777777" w:rsidR="00F343B9" w:rsidRPr="00F343B9" w:rsidRDefault="00F343B9" w:rsidP="00F343B9">
            <w:pPr>
              <w:jc w:val="right"/>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0.271</w:t>
            </w:r>
          </w:p>
        </w:tc>
        <w:tc>
          <w:tcPr>
            <w:tcW w:w="900" w:type="dxa"/>
            <w:noWrap/>
            <w:hideMark/>
          </w:tcPr>
          <w:p w14:paraId="457108B9" w14:textId="77777777" w:rsidR="00F343B9" w:rsidRPr="00F343B9" w:rsidRDefault="00F343B9" w:rsidP="00F343B9">
            <w:pPr>
              <w:jc w:val="right"/>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0.213</w:t>
            </w:r>
          </w:p>
        </w:tc>
        <w:tc>
          <w:tcPr>
            <w:tcW w:w="1075" w:type="dxa"/>
            <w:noWrap/>
            <w:hideMark/>
          </w:tcPr>
          <w:p w14:paraId="1C687F8B" w14:textId="77777777" w:rsidR="00F343B9" w:rsidRPr="00F343B9" w:rsidRDefault="00F343B9" w:rsidP="00F343B9">
            <w:pPr>
              <w:jc w:val="right"/>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0.054</w:t>
            </w:r>
          </w:p>
        </w:tc>
      </w:tr>
      <w:tr w:rsidR="00F343B9" w:rsidRPr="00F343B9" w14:paraId="323CA2FA" w14:textId="77777777" w:rsidTr="002B64C2">
        <w:trPr>
          <w:trHeight w:val="270"/>
        </w:trPr>
        <w:tc>
          <w:tcPr>
            <w:tcW w:w="1345" w:type="dxa"/>
            <w:noWrap/>
            <w:hideMark/>
          </w:tcPr>
          <w:p w14:paraId="2929D6BD" w14:textId="77777777" w:rsidR="00F343B9" w:rsidRPr="00F343B9" w:rsidRDefault="00F343B9" w:rsidP="00F343B9">
            <w:pPr>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Mathers et al 2007</w:t>
            </w:r>
          </w:p>
        </w:tc>
        <w:tc>
          <w:tcPr>
            <w:tcW w:w="900" w:type="dxa"/>
            <w:noWrap/>
            <w:hideMark/>
          </w:tcPr>
          <w:p w14:paraId="451FCF13" w14:textId="77777777" w:rsidR="00F343B9" w:rsidRPr="00F343B9" w:rsidRDefault="00F343B9" w:rsidP="00F343B9">
            <w:pPr>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Wood</w:t>
            </w:r>
          </w:p>
        </w:tc>
        <w:tc>
          <w:tcPr>
            <w:tcW w:w="1440" w:type="dxa"/>
            <w:noWrap/>
            <w:hideMark/>
          </w:tcPr>
          <w:p w14:paraId="7057F181" w14:textId="77777777" w:rsidR="00F343B9" w:rsidRPr="00F343B9" w:rsidRDefault="00F343B9" w:rsidP="00F343B9">
            <w:pPr>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Mulga twigs</w:t>
            </w:r>
          </w:p>
        </w:tc>
        <w:tc>
          <w:tcPr>
            <w:tcW w:w="630" w:type="dxa"/>
            <w:noWrap/>
            <w:hideMark/>
          </w:tcPr>
          <w:p w14:paraId="78D8C763" w14:textId="77777777" w:rsidR="00F343B9" w:rsidRPr="00F343B9" w:rsidRDefault="00F343B9" w:rsidP="00F343B9">
            <w:pPr>
              <w:jc w:val="right"/>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32.6</w:t>
            </w:r>
          </w:p>
        </w:tc>
        <w:tc>
          <w:tcPr>
            <w:tcW w:w="1007" w:type="dxa"/>
            <w:noWrap/>
            <w:hideMark/>
          </w:tcPr>
          <w:p w14:paraId="2F6625F7" w14:textId="77777777" w:rsidR="00F343B9" w:rsidRPr="00F343B9" w:rsidRDefault="00F343B9" w:rsidP="00F343B9">
            <w:pPr>
              <w:jc w:val="right"/>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0.621</w:t>
            </w:r>
          </w:p>
        </w:tc>
        <w:tc>
          <w:tcPr>
            <w:tcW w:w="973" w:type="dxa"/>
            <w:noWrap/>
            <w:hideMark/>
          </w:tcPr>
          <w:p w14:paraId="7CCB3816" w14:textId="77777777" w:rsidR="00F343B9" w:rsidRPr="00F343B9" w:rsidRDefault="00F343B9" w:rsidP="00F343B9">
            <w:pPr>
              <w:jc w:val="right"/>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0.097</w:t>
            </w:r>
          </w:p>
        </w:tc>
        <w:tc>
          <w:tcPr>
            <w:tcW w:w="1080" w:type="dxa"/>
            <w:noWrap/>
            <w:hideMark/>
          </w:tcPr>
          <w:p w14:paraId="1B33AF83" w14:textId="77777777" w:rsidR="00F343B9" w:rsidRPr="00F343B9" w:rsidRDefault="00F343B9" w:rsidP="00F343B9">
            <w:pPr>
              <w:jc w:val="right"/>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0.103</w:t>
            </w:r>
          </w:p>
        </w:tc>
        <w:tc>
          <w:tcPr>
            <w:tcW w:w="900" w:type="dxa"/>
            <w:noWrap/>
            <w:hideMark/>
          </w:tcPr>
          <w:p w14:paraId="28E0F076" w14:textId="77777777" w:rsidR="00F343B9" w:rsidRPr="00F343B9" w:rsidRDefault="00F343B9" w:rsidP="00F343B9">
            <w:pPr>
              <w:jc w:val="right"/>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0.152</w:t>
            </w:r>
          </w:p>
        </w:tc>
        <w:tc>
          <w:tcPr>
            <w:tcW w:w="1075" w:type="dxa"/>
            <w:noWrap/>
            <w:hideMark/>
          </w:tcPr>
          <w:p w14:paraId="5875975D" w14:textId="77777777" w:rsidR="00F343B9" w:rsidRPr="00F343B9" w:rsidRDefault="00F343B9" w:rsidP="00F343B9">
            <w:pPr>
              <w:jc w:val="right"/>
              <w:rPr>
                <w:rFonts w:ascii="Calibri" w:eastAsia="Times New Roman" w:hAnsi="Calibri" w:cs="Calibri"/>
                <w:color w:val="000000"/>
                <w:kern w:val="0"/>
                <w14:ligatures w14:val="none"/>
              </w:rPr>
            </w:pPr>
            <w:r w:rsidRPr="00F343B9">
              <w:rPr>
                <w:rFonts w:ascii="Calibri" w:eastAsia="Times New Roman" w:hAnsi="Calibri" w:cs="Calibri"/>
                <w:color w:val="000000"/>
                <w:kern w:val="0"/>
                <w14:ligatures w14:val="none"/>
              </w:rPr>
              <w:t>0.028</w:t>
            </w:r>
          </w:p>
        </w:tc>
      </w:tr>
    </w:tbl>
    <w:p w14:paraId="6C9F6C33" w14:textId="77777777" w:rsidR="00F343B9" w:rsidRDefault="00F343B9"/>
    <w:p w14:paraId="29AE3AF9" w14:textId="77777777" w:rsidR="00C8539B" w:rsidRDefault="00C8539B"/>
    <w:p w14:paraId="721724D6" w14:textId="77777777" w:rsidR="00263CBE" w:rsidRPr="00263CBE" w:rsidRDefault="00263CBE" w:rsidP="00472C56">
      <w:pPr>
        <w:pStyle w:val="Bibliography"/>
        <w:spacing w:line="240" w:lineRule="auto"/>
        <w:rPr>
          <w:rFonts w:ascii="Aptos" w:hAnsi="Aptos"/>
        </w:rPr>
      </w:pPr>
      <w:r>
        <w:lastRenderedPageBreak/>
        <w:fldChar w:fldCharType="begin"/>
      </w:r>
      <w:r>
        <w:instrText xml:space="preserve"> ADDIN ZOTERO_BIBL {"uncited":[],"omitted":[],"custom":[]} CSL_BIBLIOGRAPHY </w:instrText>
      </w:r>
      <w:r>
        <w:fldChar w:fldCharType="separate"/>
      </w:r>
      <w:r w:rsidRPr="00263CBE">
        <w:rPr>
          <w:rFonts w:ascii="Aptos" w:hAnsi="Aptos"/>
        </w:rPr>
        <w:t xml:space="preserve">Beidler, K. V., Phillips, R. P., Andrews, E., Maillard, F., Mushinski, R. M., &amp; Kennedy, P. G. (2020). Substrate quality drives fungal necromass decay and decomposer community structure under contrasting vegetation types. </w:t>
      </w:r>
      <w:r w:rsidRPr="00263CBE">
        <w:rPr>
          <w:rFonts w:ascii="Aptos" w:hAnsi="Aptos"/>
          <w:i/>
          <w:iCs/>
        </w:rPr>
        <w:t>Journal of Ecology</w:t>
      </w:r>
      <w:r w:rsidRPr="00263CBE">
        <w:rPr>
          <w:rFonts w:ascii="Aptos" w:hAnsi="Aptos"/>
        </w:rPr>
        <w:t xml:space="preserve">, </w:t>
      </w:r>
      <w:r w:rsidRPr="00263CBE">
        <w:rPr>
          <w:rFonts w:ascii="Aptos" w:hAnsi="Aptos"/>
          <w:i/>
          <w:iCs/>
        </w:rPr>
        <w:t>108</w:t>
      </w:r>
      <w:r w:rsidRPr="00263CBE">
        <w:rPr>
          <w:rFonts w:ascii="Aptos" w:hAnsi="Aptos"/>
        </w:rPr>
        <w:t>(5), 1845–1859. https://doi.org/10.1111/1365-2745.13385</w:t>
      </w:r>
    </w:p>
    <w:p w14:paraId="7CED0EA3" w14:textId="77777777" w:rsidR="00263CBE" w:rsidRPr="00263CBE" w:rsidRDefault="00263CBE" w:rsidP="00472C56">
      <w:pPr>
        <w:pStyle w:val="Bibliography"/>
        <w:spacing w:line="240" w:lineRule="auto"/>
        <w:rPr>
          <w:rFonts w:ascii="Aptos" w:hAnsi="Aptos"/>
        </w:rPr>
      </w:pPr>
      <w:r w:rsidRPr="00263CBE">
        <w:rPr>
          <w:rFonts w:ascii="Aptos" w:hAnsi="Aptos"/>
        </w:rPr>
        <w:t xml:space="preserve">Chakrawal, A., Lindahl, B. D., &amp; Manzoni, S. (2024). Modelling optimal ligninolytic activity during plant litter decomposition. </w:t>
      </w:r>
      <w:r w:rsidRPr="00263CBE">
        <w:rPr>
          <w:rFonts w:ascii="Aptos" w:hAnsi="Aptos"/>
          <w:i/>
          <w:iCs/>
        </w:rPr>
        <w:t>New Phytologist</w:t>
      </w:r>
      <w:r w:rsidRPr="00263CBE">
        <w:rPr>
          <w:rFonts w:ascii="Aptos" w:hAnsi="Aptos"/>
        </w:rPr>
        <w:t xml:space="preserve">, </w:t>
      </w:r>
      <w:r w:rsidRPr="00263CBE">
        <w:rPr>
          <w:rFonts w:ascii="Aptos" w:hAnsi="Aptos"/>
          <w:i/>
          <w:iCs/>
        </w:rPr>
        <w:t>n/a</w:t>
      </w:r>
      <w:r w:rsidRPr="00263CBE">
        <w:rPr>
          <w:rFonts w:ascii="Aptos" w:hAnsi="Aptos"/>
        </w:rPr>
        <w:t>(n/a). https://doi.org/10.1111/nph.19572</w:t>
      </w:r>
    </w:p>
    <w:p w14:paraId="2D578ECF" w14:textId="77777777" w:rsidR="00263CBE" w:rsidRPr="00263CBE" w:rsidRDefault="00263CBE" w:rsidP="00472C56">
      <w:pPr>
        <w:pStyle w:val="Bibliography"/>
        <w:spacing w:line="240" w:lineRule="auto"/>
        <w:rPr>
          <w:rFonts w:ascii="Aptos" w:hAnsi="Aptos"/>
        </w:rPr>
      </w:pPr>
      <w:r w:rsidRPr="00472C56">
        <w:rPr>
          <w:rFonts w:ascii="Aptos" w:hAnsi="Aptos"/>
          <w:lang w:val="de-DE"/>
        </w:rPr>
        <w:t xml:space="preserve">Knicker, H., &amp; Lüdemann, H.-D. (1995). </w:t>
      </w:r>
      <w:r w:rsidRPr="00263CBE">
        <w:rPr>
          <w:rFonts w:ascii="Aptos" w:hAnsi="Aptos"/>
        </w:rPr>
        <w:t xml:space="preserve">N-15 and C-13 CPMAS and solution NMR studies of N-15 enriched plant material during 600 days of microbial degradation. </w:t>
      </w:r>
      <w:r w:rsidRPr="00263CBE">
        <w:rPr>
          <w:rFonts w:ascii="Aptos" w:hAnsi="Aptos"/>
          <w:i/>
          <w:iCs/>
        </w:rPr>
        <w:t>Organic Geochemistry</w:t>
      </w:r>
      <w:r w:rsidRPr="00263CBE">
        <w:rPr>
          <w:rFonts w:ascii="Aptos" w:hAnsi="Aptos"/>
        </w:rPr>
        <w:t xml:space="preserve">, </w:t>
      </w:r>
      <w:r w:rsidRPr="00263CBE">
        <w:rPr>
          <w:rFonts w:ascii="Aptos" w:hAnsi="Aptos"/>
          <w:i/>
          <w:iCs/>
        </w:rPr>
        <w:t>23</w:t>
      </w:r>
      <w:r w:rsidRPr="00263CBE">
        <w:rPr>
          <w:rFonts w:ascii="Aptos" w:hAnsi="Aptos"/>
        </w:rPr>
        <w:t>(4), 329–341. https://doi.org/10.1016/0146-6380(95)00007-2</w:t>
      </w:r>
    </w:p>
    <w:p w14:paraId="130E5DF7" w14:textId="77777777" w:rsidR="00263CBE" w:rsidRPr="00263CBE" w:rsidRDefault="00263CBE" w:rsidP="00472C56">
      <w:pPr>
        <w:pStyle w:val="Bibliography"/>
        <w:spacing w:line="240" w:lineRule="auto"/>
        <w:rPr>
          <w:rFonts w:ascii="Aptos" w:hAnsi="Aptos"/>
        </w:rPr>
      </w:pPr>
      <w:r w:rsidRPr="00263CBE">
        <w:rPr>
          <w:rFonts w:ascii="Aptos" w:hAnsi="Aptos"/>
        </w:rPr>
        <w:t xml:space="preserve">Nelson, P. N., &amp; Baldock, J. A. (2005). Estimating the molecular composition of a diverse range of natural organic materials from solid-state 13C NMR and elemental analyses. </w:t>
      </w:r>
      <w:r w:rsidRPr="00263CBE">
        <w:rPr>
          <w:rFonts w:ascii="Aptos" w:hAnsi="Aptos"/>
          <w:i/>
          <w:iCs/>
        </w:rPr>
        <w:t>Biogeochemistry</w:t>
      </w:r>
      <w:r w:rsidRPr="00263CBE">
        <w:rPr>
          <w:rFonts w:ascii="Aptos" w:hAnsi="Aptos"/>
        </w:rPr>
        <w:t xml:space="preserve">, </w:t>
      </w:r>
      <w:r w:rsidRPr="00263CBE">
        <w:rPr>
          <w:rFonts w:ascii="Aptos" w:hAnsi="Aptos"/>
          <w:i/>
          <w:iCs/>
        </w:rPr>
        <w:t>72</w:t>
      </w:r>
      <w:r w:rsidRPr="00263CBE">
        <w:rPr>
          <w:rFonts w:ascii="Aptos" w:hAnsi="Aptos"/>
        </w:rPr>
        <w:t>(1), 1–34. https://doi.org/10.1007/s10533-004-0076-3</w:t>
      </w:r>
    </w:p>
    <w:p w14:paraId="29377A24" w14:textId="77777777" w:rsidR="00263CBE" w:rsidRPr="00263CBE" w:rsidRDefault="00263CBE" w:rsidP="00472C56">
      <w:pPr>
        <w:pStyle w:val="Bibliography"/>
        <w:spacing w:line="240" w:lineRule="auto"/>
        <w:rPr>
          <w:rFonts w:ascii="Aptos" w:hAnsi="Aptos"/>
        </w:rPr>
      </w:pPr>
      <w:r w:rsidRPr="00263CBE">
        <w:rPr>
          <w:rFonts w:ascii="Aptos" w:hAnsi="Aptos"/>
        </w:rPr>
        <w:t xml:space="preserve">Zhang, J., &amp; Elser, J. J. (2017). Carbon:Nitrogen:Phosphorus Stoichiometry in Fungi: A Meta-Analysis. </w:t>
      </w:r>
      <w:r w:rsidRPr="00263CBE">
        <w:rPr>
          <w:rFonts w:ascii="Aptos" w:hAnsi="Aptos"/>
          <w:i/>
          <w:iCs/>
        </w:rPr>
        <w:t>Frontiers in Microbiology</w:t>
      </w:r>
      <w:r w:rsidRPr="00263CBE">
        <w:rPr>
          <w:rFonts w:ascii="Aptos" w:hAnsi="Aptos"/>
        </w:rPr>
        <w:t xml:space="preserve">, </w:t>
      </w:r>
      <w:r w:rsidRPr="00263CBE">
        <w:rPr>
          <w:rFonts w:ascii="Aptos" w:hAnsi="Aptos"/>
          <w:i/>
          <w:iCs/>
        </w:rPr>
        <w:t>8</w:t>
      </w:r>
      <w:r w:rsidRPr="00263CBE">
        <w:rPr>
          <w:rFonts w:ascii="Aptos" w:hAnsi="Aptos"/>
        </w:rPr>
        <w:t>. https://doi.org/10.3389/fmicb.2017.01281</w:t>
      </w:r>
    </w:p>
    <w:p w14:paraId="09F25D6C" w14:textId="1CF5C437" w:rsidR="00C8539B" w:rsidRDefault="00263CBE" w:rsidP="00472C56">
      <w:pPr>
        <w:spacing w:line="240" w:lineRule="auto"/>
      </w:pPr>
      <w:r>
        <w:fldChar w:fldCharType="end"/>
      </w:r>
    </w:p>
    <w:sectPr w:rsidR="00C853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E2D"/>
    <w:rsid w:val="00000415"/>
    <w:rsid w:val="0000274F"/>
    <w:rsid w:val="0001410F"/>
    <w:rsid w:val="00045DF5"/>
    <w:rsid w:val="00075B5F"/>
    <w:rsid w:val="000A124B"/>
    <w:rsid w:val="000A372B"/>
    <w:rsid w:val="000B18EF"/>
    <w:rsid w:val="000C02A2"/>
    <w:rsid w:val="000C6F52"/>
    <w:rsid w:val="000C7240"/>
    <w:rsid w:val="000E6790"/>
    <w:rsid w:val="00114D5F"/>
    <w:rsid w:val="001164CD"/>
    <w:rsid w:val="00134F03"/>
    <w:rsid w:val="00136916"/>
    <w:rsid w:val="001402AC"/>
    <w:rsid w:val="001551D0"/>
    <w:rsid w:val="001708E9"/>
    <w:rsid w:val="001B62BA"/>
    <w:rsid w:val="001C01C6"/>
    <w:rsid w:val="001C340E"/>
    <w:rsid w:val="001C4B57"/>
    <w:rsid w:val="001E51B5"/>
    <w:rsid w:val="001E5B59"/>
    <w:rsid w:val="002423E9"/>
    <w:rsid w:val="0025327E"/>
    <w:rsid w:val="00255778"/>
    <w:rsid w:val="00263CBE"/>
    <w:rsid w:val="0027178C"/>
    <w:rsid w:val="00293470"/>
    <w:rsid w:val="002A08F7"/>
    <w:rsid w:val="002B64C2"/>
    <w:rsid w:val="002D3F07"/>
    <w:rsid w:val="0031078B"/>
    <w:rsid w:val="00334D80"/>
    <w:rsid w:val="00342B13"/>
    <w:rsid w:val="00357FC7"/>
    <w:rsid w:val="00362884"/>
    <w:rsid w:val="00365446"/>
    <w:rsid w:val="00390D3B"/>
    <w:rsid w:val="003A3C0C"/>
    <w:rsid w:val="003D35E8"/>
    <w:rsid w:val="003D63EB"/>
    <w:rsid w:val="003E31CC"/>
    <w:rsid w:val="00407212"/>
    <w:rsid w:val="004371C9"/>
    <w:rsid w:val="00466A37"/>
    <w:rsid w:val="00472C56"/>
    <w:rsid w:val="004800B3"/>
    <w:rsid w:val="004806E6"/>
    <w:rsid w:val="0048706C"/>
    <w:rsid w:val="004A6E2D"/>
    <w:rsid w:val="004C40B3"/>
    <w:rsid w:val="004C419E"/>
    <w:rsid w:val="004F2ECE"/>
    <w:rsid w:val="004F48C0"/>
    <w:rsid w:val="00531DC0"/>
    <w:rsid w:val="00545567"/>
    <w:rsid w:val="005533EA"/>
    <w:rsid w:val="00562BD3"/>
    <w:rsid w:val="00566F9D"/>
    <w:rsid w:val="00573ED3"/>
    <w:rsid w:val="005757B9"/>
    <w:rsid w:val="005A352C"/>
    <w:rsid w:val="005F19EA"/>
    <w:rsid w:val="005F514D"/>
    <w:rsid w:val="00604E36"/>
    <w:rsid w:val="00611C21"/>
    <w:rsid w:val="00614B6A"/>
    <w:rsid w:val="006329F2"/>
    <w:rsid w:val="0063574F"/>
    <w:rsid w:val="00670D37"/>
    <w:rsid w:val="006944CE"/>
    <w:rsid w:val="006A4BBC"/>
    <w:rsid w:val="006B141D"/>
    <w:rsid w:val="006D025F"/>
    <w:rsid w:val="006D21AE"/>
    <w:rsid w:val="00722869"/>
    <w:rsid w:val="0075166E"/>
    <w:rsid w:val="007516B0"/>
    <w:rsid w:val="00760851"/>
    <w:rsid w:val="00763490"/>
    <w:rsid w:val="00771A25"/>
    <w:rsid w:val="0077736A"/>
    <w:rsid w:val="0079072D"/>
    <w:rsid w:val="00791C5B"/>
    <w:rsid w:val="007C21CE"/>
    <w:rsid w:val="007D7E1F"/>
    <w:rsid w:val="007F044F"/>
    <w:rsid w:val="007F0BAF"/>
    <w:rsid w:val="007F2F66"/>
    <w:rsid w:val="008140BE"/>
    <w:rsid w:val="00821EC0"/>
    <w:rsid w:val="00836555"/>
    <w:rsid w:val="00840248"/>
    <w:rsid w:val="008601E9"/>
    <w:rsid w:val="00892A05"/>
    <w:rsid w:val="008B15C6"/>
    <w:rsid w:val="008D33DF"/>
    <w:rsid w:val="008D39B5"/>
    <w:rsid w:val="008E1632"/>
    <w:rsid w:val="008F4C84"/>
    <w:rsid w:val="008F6ED3"/>
    <w:rsid w:val="00906A5B"/>
    <w:rsid w:val="009473D0"/>
    <w:rsid w:val="0095090F"/>
    <w:rsid w:val="00954E70"/>
    <w:rsid w:val="00957238"/>
    <w:rsid w:val="00984FC8"/>
    <w:rsid w:val="009C0BC5"/>
    <w:rsid w:val="009C4FB7"/>
    <w:rsid w:val="009D1DD3"/>
    <w:rsid w:val="00A168EB"/>
    <w:rsid w:val="00A246BB"/>
    <w:rsid w:val="00A47FC5"/>
    <w:rsid w:val="00A61054"/>
    <w:rsid w:val="00A63CA8"/>
    <w:rsid w:val="00A65B45"/>
    <w:rsid w:val="00A8313D"/>
    <w:rsid w:val="00A91F5C"/>
    <w:rsid w:val="00A95EC6"/>
    <w:rsid w:val="00A96CBB"/>
    <w:rsid w:val="00AB0140"/>
    <w:rsid w:val="00AB53EC"/>
    <w:rsid w:val="00AD1D22"/>
    <w:rsid w:val="00AE2B4A"/>
    <w:rsid w:val="00AE357B"/>
    <w:rsid w:val="00B00D22"/>
    <w:rsid w:val="00B015AC"/>
    <w:rsid w:val="00B12275"/>
    <w:rsid w:val="00B2221A"/>
    <w:rsid w:val="00B37625"/>
    <w:rsid w:val="00B66BC4"/>
    <w:rsid w:val="00B66CCB"/>
    <w:rsid w:val="00B71D38"/>
    <w:rsid w:val="00B935C0"/>
    <w:rsid w:val="00BB7C93"/>
    <w:rsid w:val="00BC421E"/>
    <w:rsid w:val="00BC7AE3"/>
    <w:rsid w:val="00BC7D59"/>
    <w:rsid w:val="00BE2571"/>
    <w:rsid w:val="00C04016"/>
    <w:rsid w:val="00C27504"/>
    <w:rsid w:val="00C30BA9"/>
    <w:rsid w:val="00C40C00"/>
    <w:rsid w:val="00C46F28"/>
    <w:rsid w:val="00C606FB"/>
    <w:rsid w:val="00C62DE1"/>
    <w:rsid w:val="00C66362"/>
    <w:rsid w:val="00C70E4B"/>
    <w:rsid w:val="00C75D96"/>
    <w:rsid w:val="00C77A4F"/>
    <w:rsid w:val="00C8539B"/>
    <w:rsid w:val="00CD0AD4"/>
    <w:rsid w:val="00CE461E"/>
    <w:rsid w:val="00D04F30"/>
    <w:rsid w:val="00D14F27"/>
    <w:rsid w:val="00D225C9"/>
    <w:rsid w:val="00D36114"/>
    <w:rsid w:val="00D41D89"/>
    <w:rsid w:val="00D43583"/>
    <w:rsid w:val="00D6005F"/>
    <w:rsid w:val="00D675AD"/>
    <w:rsid w:val="00D70E93"/>
    <w:rsid w:val="00D753F6"/>
    <w:rsid w:val="00D903C9"/>
    <w:rsid w:val="00DD2CA6"/>
    <w:rsid w:val="00E16AFF"/>
    <w:rsid w:val="00E24488"/>
    <w:rsid w:val="00E51D51"/>
    <w:rsid w:val="00E61944"/>
    <w:rsid w:val="00E70B35"/>
    <w:rsid w:val="00E86630"/>
    <w:rsid w:val="00E91542"/>
    <w:rsid w:val="00E92FDC"/>
    <w:rsid w:val="00E93694"/>
    <w:rsid w:val="00EC1B50"/>
    <w:rsid w:val="00EC4DA3"/>
    <w:rsid w:val="00EC6CAA"/>
    <w:rsid w:val="00EE4661"/>
    <w:rsid w:val="00EF50BD"/>
    <w:rsid w:val="00F343B9"/>
    <w:rsid w:val="00F37DFD"/>
    <w:rsid w:val="00F47419"/>
    <w:rsid w:val="00F55100"/>
    <w:rsid w:val="00F619ED"/>
    <w:rsid w:val="00F73195"/>
    <w:rsid w:val="00F967EA"/>
    <w:rsid w:val="00FA759D"/>
    <w:rsid w:val="00FC228F"/>
    <w:rsid w:val="00FD1B95"/>
    <w:rsid w:val="00FE5F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6B8EF"/>
  <w15:chartTrackingRefBased/>
  <w15:docId w15:val="{E3469895-8697-47D8-8DEB-0475EAE24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E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A6E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A6E2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A6E2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A6E2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A6E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6E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6E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6E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6E2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A6E2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A6E2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A6E2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A6E2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A6E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6E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6E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6E2D"/>
    <w:rPr>
      <w:rFonts w:eastAsiaTheme="majorEastAsia" w:cstheme="majorBidi"/>
      <w:color w:val="272727" w:themeColor="text1" w:themeTint="D8"/>
    </w:rPr>
  </w:style>
  <w:style w:type="paragraph" w:styleId="Title">
    <w:name w:val="Title"/>
    <w:basedOn w:val="Normal"/>
    <w:next w:val="Normal"/>
    <w:link w:val="TitleChar"/>
    <w:uiPriority w:val="10"/>
    <w:qFormat/>
    <w:rsid w:val="004A6E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6E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6E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6E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6E2D"/>
    <w:pPr>
      <w:spacing w:before="160"/>
      <w:jc w:val="center"/>
    </w:pPr>
    <w:rPr>
      <w:i/>
      <w:iCs/>
      <w:color w:val="404040" w:themeColor="text1" w:themeTint="BF"/>
    </w:rPr>
  </w:style>
  <w:style w:type="character" w:customStyle="1" w:styleId="QuoteChar">
    <w:name w:val="Quote Char"/>
    <w:basedOn w:val="DefaultParagraphFont"/>
    <w:link w:val="Quote"/>
    <w:uiPriority w:val="29"/>
    <w:rsid w:val="004A6E2D"/>
    <w:rPr>
      <w:i/>
      <w:iCs/>
      <w:color w:val="404040" w:themeColor="text1" w:themeTint="BF"/>
    </w:rPr>
  </w:style>
  <w:style w:type="paragraph" w:styleId="ListParagraph">
    <w:name w:val="List Paragraph"/>
    <w:basedOn w:val="Normal"/>
    <w:uiPriority w:val="34"/>
    <w:qFormat/>
    <w:rsid w:val="004A6E2D"/>
    <w:pPr>
      <w:ind w:left="720"/>
      <w:contextualSpacing/>
    </w:pPr>
  </w:style>
  <w:style w:type="character" w:styleId="IntenseEmphasis">
    <w:name w:val="Intense Emphasis"/>
    <w:basedOn w:val="DefaultParagraphFont"/>
    <w:uiPriority w:val="21"/>
    <w:qFormat/>
    <w:rsid w:val="004A6E2D"/>
    <w:rPr>
      <w:i/>
      <w:iCs/>
      <w:color w:val="0F4761" w:themeColor="accent1" w:themeShade="BF"/>
    </w:rPr>
  </w:style>
  <w:style w:type="paragraph" w:styleId="IntenseQuote">
    <w:name w:val="Intense Quote"/>
    <w:basedOn w:val="Normal"/>
    <w:next w:val="Normal"/>
    <w:link w:val="IntenseQuoteChar"/>
    <w:uiPriority w:val="30"/>
    <w:qFormat/>
    <w:rsid w:val="004A6E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A6E2D"/>
    <w:rPr>
      <w:i/>
      <w:iCs/>
      <w:color w:val="0F4761" w:themeColor="accent1" w:themeShade="BF"/>
    </w:rPr>
  </w:style>
  <w:style w:type="character" w:styleId="IntenseReference">
    <w:name w:val="Intense Reference"/>
    <w:basedOn w:val="DefaultParagraphFont"/>
    <w:uiPriority w:val="32"/>
    <w:qFormat/>
    <w:rsid w:val="004A6E2D"/>
    <w:rPr>
      <w:b/>
      <w:bCs/>
      <w:smallCaps/>
      <w:color w:val="0F4761" w:themeColor="accent1" w:themeShade="BF"/>
      <w:spacing w:val="5"/>
    </w:rPr>
  </w:style>
  <w:style w:type="table" w:styleId="PlainTable2">
    <w:name w:val="Plain Table 2"/>
    <w:basedOn w:val="TableNormal"/>
    <w:uiPriority w:val="42"/>
    <w:rsid w:val="004A6E2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CommentReference">
    <w:name w:val="annotation reference"/>
    <w:basedOn w:val="DefaultParagraphFont"/>
    <w:uiPriority w:val="99"/>
    <w:semiHidden/>
    <w:unhideWhenUsed/>
    <w:rsid w:val="004A6E2D"/>
    <w:rPr>
      <w:sz w:val="16"/>
      <w:szCs w:val="16"/>
    </w:rPr>
  </w:style>
  <w:style w:type="paragraph" w:styleId="CommentText">
    <w:name w:val="annotation text"/>
    <w:basedOn w:val="Normal"/>
    <w:link w:val="CommentTextChar"/>
    <w:uiPriority w:val="99"/>
    <w:unhideWhenUsed/>
    <w:rsid w:val="004A6E2D"/>
    <w:pPr>
      <w:spacing w:line="240" w:lineRule="auto"/>
    </w:pPr>
    <w:rPr>
      <w:kern w:val="0"/>
      <w:sz w:val="20"/>
      <w:szCs w:val="20"/>
    </w:rPr>
  </w:style>
  <w:style w:type="character" w:customStyle="1" w:styleId="CommentTextChar">
    <w:name w:val="Comment Text Char"/>
    <w:basedOn w:val="DefaultParagraphFont"/>
    <w:link w:val="CommentText"/>
    <w:uiPriority w:val="99"/>
    <w:rsid w:val="004A6E2D"/>
    <w:rPr>
      <w:kern w:val="0"/>
      <w:sz w:val="20"/>
      <w:szCs w:val="20"/>
    </w:rPr>
  </w:style>
  <w:style w:type="paragraph" w:styleId="Caption">
    <w:name w:val="caption"/>
    <w:basedOn w:val="Normal"/>
    <w:next w:val="Normal"/>
    <w:uiPriority w:val="35"/>
    <w:unhideWhenUsed/>
    <w:qFormat/>
    <w:rsid w:val="009473D0"/>
    <w:rPr>
      <w:kern w:val="0"/>
      <w14:ligatures w14:val="none"/>
    </w:rPr>
  </w:style>
  <w:style w:type="table" w:styleId="TableGrid">
    <w:name w:val="Table Grid"/>
    <w:basedOn w:val="TableNormal"/>
    <w:uiPriority w:val="39"/>
    <w:rsid w:val="00CD0A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61944"/>
    <w:rPr>
      <w:color w:val="666666"/>
    </w:rPr>
  </w:style>
  <w:style w:type="paragraph" w:styleId="NormalWeb">
    <w:name w:val="Normal (Web)"/>
    <w:basedOn w:val="Normal"/>
    <w:uiPriority w:val="99"/>
    <w:semiHidden/>
    <w:unhideWhenUsed/>
    <w:rsid w:val="00F4741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Light">
    <w:name w:val="Grid Table Light"/>
    <w:basedOn w:val="TableNormal"/>
    <w:uiPriority w:val="40"/>
    <w:rsid w:val="00F343B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263CBE"/>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3444014">
      <w:bodyDiv w:val="1"/>
      <w:marLeft w:val="0"/>
      <w:marRight w:val="0"/>
      <w:marTop w:val="0"/>
      <w:marBottom w:val="0"/>
      <w:divBdr>
        <w:top w:val="none" w:sz="0" w:space="0" w:color="auto"/>
        <w:left w:val="none" w:sz="0" w:space="0" w:color="auto"/>
        <w:bottom w:val="none" w:sz="0" w:space="0" w:color="auto"/>
        <w:right w:val="none" w:sz="0" w:space="0" w:color="auto"/>
      </w:divBdr>
    </w:div>
    <w:div w:id="1674646347">
      <w:bodyDiv w:val="1"/>
      <w:marLeft w:val="0"/>
      <w:marRight w:val="0"/>
      <w:marTop w:val="0"/>
      <w:marBottom w:val="0"/>
      <w:divBdr>
        <w:top w:val="none" w:sz="0" w:space="0" w:color="auto"/>
        <w:left w:val="none" w:sz="0" w:space="0" w:color="auto"/>
        <w:bottom w:val="none" w:sz="0" w:space="0" w:color="auto"/>
        <w:right w:val="none" w:sz="0" w:space="0" w:color="auto"/>
      </w:divBdr>
      <w:divsChild>
        <w:div w:id="1853839642">
          <w:marLeft w:val="0"/>
          <w:marRight w:val="0"/>
          <w:marTop w:val="0"/>
          <w:marBottom w:val="0"/>
          <w:divBdr>
            <w:top w:val="none" w:sz="0" w:space="0" w:color="auto"/>
            <w:left w:val="none" w:sz="0" w:space="0" w:color="auto"/>
            <w:bottom w:val="none" w:sz="0" w:space="0" w:color="auto"/>
            <w:right w:val="none" w:sz="0" w:space="0" w:color="auto"/>
          </w:divBdr>
          <w:divsChild>
            <w:div w:id="41055340">
              <w:marLeft w:val="0"/>
              <w:marRight w:val="0"/>
              <w:marTop w:val="0"/>
              <w:marBottom w:val="0"/>
              <w:divBdr>
                <w:top w:val="none" w:sz="0" w:space="0" w:color="auto"/>
                <w:left w:val="none" w:sz="0" w:space="0" w:color="auto"/>
                <w:bottom w:val="none" w:sz="0" w:space="0" w:color="auto"/>
                <w:right w:val="none" w:sz="0" w:space="0" w:color="auto"/>
              </w:divBdr>
              <w:divsChild>
                <w:div w:id="1923221341">
                  <w:marLeft w:val="0"/>
                  <w:marRight w:val="0"/>
                  <w:marTop w:val="0"/>
                  <w:marBottom w:val="0"/>
                  <w:divBdr>
                    <w:top w:val="none" w:sz="0" w:space="0" w:color="auto"/>
                    <w:left w:val="none" w:sz="0" w:space="0" w:color="auto"/>
                    <w:bottom w:val="none" w:sz="0" w:space="0" w:color="auto"/>
                    <w:right w:val="none" w:sz="0" w:space="0" w:color="auto"/>
                  </w:divBdr>
                  <w:divsChild>
                    <w:div w:id="723060656">
                      <w:marLeft w:val="0"/>
                      <w:marRight w:val="0"/>
                      <w:marTop w:val="0"/>
                      <w:marBottom w:val="0"/>
                      <w:divBdr>
                        <w:top w:val="none" w:sz="0" w:space="0" w:color="auto"/>
                        <w:left w:val="none" w:sz="0" w:space="0" w:color="auto"/>
                        <w:bottom w:val="none" w:sz="0" w:space="0" w:color="auto"/>
                        <w:right w:val="none" w:sz="0" w:space="0" w:color="auto"/>
                      </w:divBdr>
                      <w:divsChild>
                        <w:div w:id="1913003385">
                          <w:marLeft w:val="0"/>
                          <w:marRight w:val="0"/>
                          <w:marTop w:val="0"/>
                          <w:marBottom w:val="0"/>
                          <w:divBdr>
                            <w:top w:val="none" w:sz="0" w:space="0" w:color="auto"/>
                            <w:left w:val="none" w:sz="0" w:space="0" w:color="auto"/>
                            <w:bottom w:val="none" w:sz="0" w:space="0" w:color="auto"/>
                            <w:right w:val="none" w:sz="0" w:space="0" w:color="auto"/>
                          </w:divBdr>
                          <w:divsChild>
                            <w:div w:id="1068379572">
                              <w:marLeft w:val="0"/>
                              <w:marRight w:val="0"/>
                              <w:marTop w:val="0"/>
                              <w:marBottom w:val="0"/>
                              <w:divBdr>
                                <w:top w:val="none" w:sz="0" w:space="0" w:color="auto"/>
                                <w:left w:val="none" w:sz="0" w:space="0" w:color="auto"/>
                                <w:bottom w:val="none" w:sz="0" w:space="0" w:color="auto"/>
                                <w:right w:val="none" w:sz="0" w:space="0" w:color="auto"/>
                              </w:divBdr>
                              <w:divsChild>
                                <w:div w:id="665013005">
                                  <w:marLeft w:val="0"/>
                                  <w:marRight w:val="0"/>
                                  <w:marTop w:val="0"/>
                                  <w:marBottom w:val="0"/>
                                  <w:divBdr>
                                    <w:top w:val="none" w:sz="0" w:space="0" w:color="auto"/>
                                    <w:left w:val="none" w:sz="0" w:space="0" w:color="auto"/>
                                    <w:bottom w:val="none" w:sz="0" w:space="0" w:color="auto"/>
                                    <w:right w:val="none" w:sz="0" w:space="0" w:color="auto"/>
                                  </w:divBdr>
                                  <w:divsChild>
                                    <w:div w:id="42572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887312">
                          <w:marLeft w:val="0"/>
                          <w:marRight w:val="0"/>
                          <w:marTop w:val="0"/>
                          <w:marBottom w:val="0"/>
                          <w:divBdr>
                            <w:top w:val="none" w:sz="0" w:space="0" w:color="auto"/>
                            <w:left w:val="none" w:sz="0" w:space="0" w:color="auto"/>
                            <w:bottom w:val="none" w:sz="0" w:space="0" w:color="auto"/>
                            <w:right w:val="none" w:sz="0" w:space="0" w:color="auto"/>
                          </w:divBdr>
                          <w:divsChild>
                            <w:div w:id="884147643">
                              <w:marLeft w:val="0"/>
                              <w:marRight w:val="0"/>
                              <w:marTop w:val="0"/>
                              <w:marBottom w:val="0"/>
                              <w:divBdr>
                                <w:top w:val="none" w:sz="0" w:space="0" w:color="auto"/>
                                <w:left w:val="none" w:sz="0" w:space="0" w:color="auto"/>
                                <w:bottom w:val="none" w:sz="0" w:space="0" w:color="auto"/>
                                <w:right w:val="none" w:sz="0" w:space="0" w:color="auto"/>
                              </w:divBdr>
                              <w:divsChild>
                                <w:div w:id="102000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sv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7</Pages>
  <Words>3417</Words>
  <Characters>19478</Characters>
  <Application>Microsoft Office Word</Application>
  <DocSecurity>0</DocSecurity>
  <Lines>162</Lines>
  <Paragraphs>45</Paragraphs>
  <ScaleCrop>false</ScaleCrop>
  <Company/>
  <LinksUpToDate>false</LinksUpToDate>
  <CharactersWithSpaces>22850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Chakrawal, Arjun</dc:creator>
  <cp:keywords/>
  <dc:description/>
  <cp:lastModifiedBy>Chakrawal, Arjun</cp:lastModifiedBy>
  <cp:revision>189</cp:revision>
  <dcterms:created xsi:type="dcterms:W3CDTF">2025-04-23T18:29:00Z</dcterms:created>
  <dcterms:modified xsi:type="dcterms:W3CDTF">2025-05-26T05:42:00Z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id="fzIbIR7B"/&gt;&lt;style id="http://www.zotero.org/styles/american-geophysical-union" hasBibliography="1" bibliographyStyleHasBeenSet="1"/&gt;&lt;prefs&gt;&lt;pref name="fieldType" value="Field"/&gt;&lt;/prefs&gt;&lt;/data&gt;</vt:lpwstr>
  </property>
</Properties>
</file>