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6E5C3" w14:textId="77777777" w:rsidR="004E109A" w:rsidRPr="00A54745" w:rsidRDefault="004E109A" w:rsidP="004E109A"/>
    <w:p w14:paraId="41292D6D" w14:textId="77777777" w:rsidR="004E109A" w:rsidRDefault="004E109A" w:rsidP="004E109A">
      <w:r w:rsidRPr="00AE345D">
        <w:rPr>
          <w:b/>
          <w:bCs/>
        </w:rPr>
        <w:t>Fail safe:</w:t>
      </w:r>
      <w:r>
        <w:t xml:space="preserve"> 1) Maybe we can use some aspect of </w:t>
      </w:r>
      <w:r>
        <w:fldChar w:fldCharType="begin"/>
      </w:r>
      <w:r>
        <w:instrText xml:space="preserve"> ADDIN ZOTERO_ITEM CSL_CITATION {"citationID":"JuSXX2XR","properties":{"formattedCitation":"(Wutzler et al., 2017)","plainCitation":"(Wutzler et al., 2017)","noteIndex":0},"citationItems":[{"id":209,"uris":["http://zotero.org/users/5408042/items/3X4F2635"],"itemData":{"id":209,"type":"article-journal","abstract":"In order to understand the coupling of carbon (C) and nitrogen (N) cycles, it is necessary to understand C and N-use efficiencies of microbial soil organic matter (SOM) decomposition. While important controls of those efficiencies by microbial community adaptations have been shown at the scale of a soil pore, an abstract simplified representation of community adaptations is needed at ecosystem scale. Therefore we developed the soil enzyme allocation model (SEAM), which takes a holistic, partly optimality based approach to describe C and N dynamics at the spatial scale of an ecosystem and time-scales of years and longer. We explicitly modelled community adaptation strategies of resource allocation to extracellular enzymes and enzyme limitations on SOM decomposition. Using SEAM, we explored whether alternative strategy-hypotheses can have strong effects on SOM and inorganic N cycling. Results from prototypical simulations and a calibration to observations of an intensive pasture site showed that the so-called revenue enzyme allocation strategy was most viable. This strategy accounts for microbial adaptations to both, stoichiometry and amount of different SOM resources, and supported the largest microbial biomass under a wide range of conditions. Predictions of the holistic SEAM model were qualitatively similar to precitions of the SYMPHONY model, which explicitly represents competing microbial guilds. With adaptive enzyme allocation under conditions of high C/N ratio of litter inputs, N that was formerly locked in slowly degrading SOM pools was made accessible, whereas with high N inputs, N was sequestered in SOM and protected from leaching. The findings imply that it is important for ecosystem scale models to account for adaptation of C and N use efficiencies in order to represent C-N couplings. The combination of stoichiometry and optimality principles is a promising route to yield simple formulations of such adaptations at community level suitable for incorporation into land surface models.","container-title":"Soil Biology and Biochemistry","DOI":"10.1016/j.soilbio.2017.08.031","ISSN":"0038-0717","journalAbbreviation":"Soil Biology and Biochemistry","language":"en","page":"322-336","source":"ScienceDirect","title":"Adaptation of microbial resource allocation affects modelled long term soil organic matter and nutrient cycling","volume":"115","author":[{"family":"Wutzler","given":"Thomas"},{"family":"Zaehle","given":"Sönke"},{"family":"Schrumpf","given":"Marion"},{"family":"Ahrens","given":"Bernhard"},{"family":"Reichstein","given":"Markus"}],"issued":{"date-parts":[["2017",12,1]]}}}],"schema":"https://github.com/citation-style-language/schema/raw/master/csl-citation.json"} </w:instrText>
      </w:r>
      <w:r>
        <w:fldChar w:fldCharType="separate"/>
      </w:r>
      <w:r w:rsidRPr="00757DAD">
        <w:rPr>
          <w:rFonts w:ascii="Calibri" w:hAnsi="Calibri" w:cs="Calibri"/>
        </w:rPr>
        <w:t>(Wutzler et al., 2017)</w:t>
      </w:r>
      <w:r>
        <w:fldChar w:fldCharType="end"/>
      </w:r>
      <w:r>
        <w:t xml:space="preserve">or </w:t>
      </w:r>
      <w:r>
        <w:fldChar w:fldCharType="begin"/>
      </w:r>
      <w:r>
        <w:instrText xml:space="preserve"> ADDIN ZOTERO_ITEM CSL_CITATION {"citationID":"b4LOmEG6","properties":{"formattedCitation":"(Sistla et al., 2014)","plainCitation":"(Sistla et al., 2014)","noteIndex":0},"citationItems":[{"id":1951,"uris":["http://zotero.org/users/5408042/items/LSQYA9SZ"],"itemData":{"id":1951,"type":"article-journal","abstract":"Soils, plants, and microbial communities respond to global change perturbations through coupled, nonlinear interactions. Dynamic ecological responses complicate projecting how global change disturbances will inﬂuence ecosystem processes, such as carbon (C) storage. We developed an ecosystem-scale model (Stoichiometrically Coupled, Acclimating Microbe–Plant–Soil model, SCAMPS) that simulates the dynamic feedbacks between aboveground and belowground communities that affect their shared soil environment. The belowground component of the model includes three classes of soil organic matter (SOM), three microbially synthesized extracellular enzyme classes speciﬁc to these SOM pools, and a microbial biomass pool with a variable C-to-N ratio (C:N). The plant biomass, which contributes to the SOM pools, ﬂexibly allocates growth toward wood, root, and leaf biomass, based on nitrogen (N) uptake and shoot-to-root ratio. Unlike traditional ecosystem models, the microbial community can acclimate to changing soil resources by shifting its C:N between a lower C:N, faster turnover (bacteria-like) community, and a higher C:N, slower turnover (fungal-like) community. This stoichiometric ﬂexibility allows for the microbial C and N use efﬁciency to vary, feeding back into system decomposition and productivity dynamics. These feedbacks regulate changes in extracellular enzyme synthesis, soil pool turnover rates, plant growth, and ecosystem C storage. We used SCAMPS to test the interactive effects of winter, summer, and year-round soil warming, in combination with microbial acclimation ability, on decomposition dynamics and plant growth in a tundra system.","container-title":"Ecological Monographs","DOI":"10.1890/12-2119.1","ISSN":"0012-9615","issue":"1","journalAbbreviation":"Ecological Monographs","language":"en","page":"151-170","source":"DOI.org (Crossref)","title":"Responses of a tundra system to warming using SCAMPS: a stoichiometrically coupled, acclimating microbe–plant–soil model","title-short":"Responses of a tundra system to warming using SCAMPS","volume":"84","author":[{"family":"Sistla","given":"Seeta A."},{"family":"Rastetter","given":"Edward B."},{"family":"Schimel","given":"Joshua P."}],"issued":{"date-parts":[["2014",2]]}}}],"schema":"https://github.com/citation-style-language/schema/raw/master/csl-citation.json"} </w:instrText>
      </w:r>
      <w:r>
        <w:fldChar w:fldCharType="separate"/>
      </w:r>
      <w:r w:rsidRPr="00757DAD">
        <w:rPr>
          <w:rFonts w:ascii="Calibri" w:hAnsi="Calibri" w:cs="Calibri"/>
        </w:rPr>
        <w:t>(Sistla et al., 2014)</w:t>
      </w:r>
      <w:r>
        <w:fldChar w:fldCharType="end"/>
      </w:r>
      <w:r>
        <w:t xml:space="preserve">, </w:t>
      </w:r>
      <w:r>
        <w:fldChar w:fldCharType="begin"/>
      </w:r>
      <w:r>
        <w:instrText xml:space="preserve"> ADDIN ZOTERO_ITEM CSL_CITATION {"citationID":"ZibE7lB4","properties":{"formattedCitation":"(Weverka et al., 2023)","plainCitation":"(Weverka et al., 2023)","noteIndex":0},"citationItems":[{"id":8425,"uris":["http://zotero.org/users/5408042/items/V2UCJW22"],"itemData":{"id":8425,"type":"article-journal","abstract":"Modeling soil organic carbon is crucial for predicting ecosystem feedbacks to global change. Soil C models typically divide organic C into pools with different turnover rates, even though pools contain complex mixtures of organic molecules. Because microbes assimilate different organic molecules via different metabolic pathways, these models may not capture effects of organic substrate chemodiversity on soil C cycling. In the presence of many substrates, microbes must either allocate resources toward metabolizing specific substrates while ignoring others, or split resources among enzymes for different available substrates. To investigate the influence of chemodiversity on microbial assimilation, we developed a theoretical model that represents microbial assimilation of distinct substrates, corresponding enzymes, and the costs and benefits associated with building enzymes. With this model we show two mechanisms by which chemodiversity could suppress microbial assimilation of available organic substrates. In the first, microbes ignore substrates that aren't abundant enough to justify investing in corresponding enzymes, effectively shrinking the effective size of the decomposing pool. In the second mechanism, assimilating a diverse substrate pool requires microbes to make multiple enzyme types, and dividing resources among different enzyme types suppresses microbial assimilation. Using this model, we show how chemodiversity of organic substrates could suppress the overall microbial C assimilation rate, particularly when overall substrate availability is low. With our results, we also suggest a way to incorporate chemodiversity as a parameter to modify microbial assimilation in other SOC models.","container-title":"Soil Biology and Biochemistry","DOI":"10.1016/j.soilbio.2023.109161","ISSN":"0038-0717","journalAbbreviation":"Soil Biology and Biochemistry","page":"109161","source":"ScienceDirect","title":"Chemodiversity controls microbial assimilation of soil organic carbon: A theoretical model","title-short":"Chemodiversity controls microbial assimilation of soil organic carbon","volume":"187","author":[{"family":"Weverka","given":"Jacob R."},{"family":"Moeller","given":"Holly V."},{"family":"Schimel","given":"Joshua P."}],"issued":{"date-parts":[["2023",12,1]]}}}],"schema":"https://github.com/citation-style-language/schema/raw/master/csl-citation.json"} </w:instrText>
      </w:r>
      <w:r>
        <w:fldChar w:fldCharType="separate"/>
      </w:r>
      <w:r w:rsidRPr="00A039D9">
        <w:rPr>
          <w:rFonts w:ascii="Calibri" w:hAnsi="Calibri" w:cs="Calibri"/>
        </w:rPr>
        <w:t>(Weverka et al., 2023)</w:t>
      </w:r>
      <w:r>
        <w:fldChar w:fldCharType="end"/>
      </w:r>
      <w:r>
        <w:t xml:space="preserve"> optimal resource allocation to enzyme model with variable CNB to have some sort of optimization then simply sue molecular mixing approach to identify litter pools and do dynamic simulation. Use the output to look at dynamic DR. </w:t>
      </w:r>
    </w:p>
    <w:p w14:paraId="63C0824A" w14:textId="77777777" w:rsidR="004E109A" w:rsidRPr="0075689C" w:rsidRDefault="004E109A" w:rsidP="004E109A">
      <w:r>
        <w:t xml:space="preserve">2) kind of a cohort one pool simple CN dynamic model for whole litter with chemical diversity based quality index, and some way of doing dynamic DR. </w:t>
      </w:r>
    </w:p>
    <w:p w14:paraId="2805F8D4" w14:textId="77777777" w:rsidR="00995D8B" w:rsidRDefault="00995D8B" w:rsidP="00995D8B">
      <w:pPr>
        <w:pStyle w:val="pf0"/>
        <w:rPr>
          <w:rFonts w:ascii="Arial" w:hAnsi="Arial" w:cs="Arial"/>
          <w:sz w:val="20"/>
          <w:szCs w:val="20"/>
        </w:rPr>
      </w:pPr>
      <w:r>
        <w:rPr>
          <w:rStyle w:val="cf01"/>
        </w:rPr>
        <w:t>Paragraph 1:</w:t>
      </w:r>
      <w:r>
        <w:rPr>
          <w:rStyle w:val="cf11"/>
        </w:rPr>
        <w:t xml:space="preserve"> Why study litter decomposition, Controls of litter decomposition, especially how litter chemical traits (diversity) affect its decomposition and microbial activity</w:t>
      </w:r>
    </w:p>
    <w:p w14:paraId="0827A57A" w14:textId="77777777" w:rsidR="00995D8B" w:rsidRDefault="00995D8B" w:rsidP="00995D8B">
      <w:pPr>
        <w:pStyle w:val="pf1"/>
        <w:numPr>
          <w:ilvl w:val="0"/>
          <w:numId w:val="2"/>
        </w:numPr>
        <w:rPr>
          <w:rFonts w:ascii="Arial" w:hAnsi="Arial" w:cs="Arial"/>
          <w:sz w:val="20"/>
          <w:szCs w:val="20"/>
        </w:rPr>
      </w:pPr>
      <w:r>
        <w:rPr>
          <w:rStyle w:val="cf11"/>
        </w:rPr>
        <w:t xml:space="preserve">Improved understanding of role of N management in terrestrial ecosystems. In many ecosystems, above and below ground species compete for nutrients which </w:t>
      </w:r>
      <w:proofErr w:type="gramStart"/>
      <w:r>
        <w:rPr>
          <w:rStyle w:val="cf11"/>
        </w:rPr>
        <w:t>is</w:t>
      </w:r>
      <w:proofErr w:type="gramEnd"/>
      <w:r>
        <w:rPr>
          <w:rStyle w:val="cf11"/>
        </w:rPr>
        <w:t xml:space="preserve"> linked to carbon storage capacity of such systems. For example, the C sequestration in forests and grasslands under eCO2 conditions are related to their belowground nutrient conditions. Often N in OM is explicitly modeled as a separate pool but N does not exist in elemental form but as </w:t>
      </w:r>
      <w:proofErr w:type="gramStart"/>
      <w:r>
        <w:rPr>
          <w:rStyle w:val="cf11"/>
        </w:rPr>
        <w:t>organic</w:t>
      </w:r>
      <w:proofErr w:type="gramEnd"/>
      <w:r>
        <w:rPr>
          <w:rStyle w:val="cf11"/>
        </w:rPr>
        <w:t xml:space="preserve"> compound containing N. We represent N directly in the protein pool without needing to track N separately. </w:t>
      </w:r>
    </w:p>
    <w:p w14:paraId="7403DF3B" w14:textId="77777777" w:rsidR="00995D8B" w:rsidRDefault="00995D8B" w:rsidP="00995D8B">
      <w:pPr>
        <w:pStyle w:val="pf1"/>
        <w:numPr>
          <w:ilvl w:val="0"/>
          <w:numId w:val="2"/>
        </w:numPr>
        <w:rPr>
          <w:rFonts w:ascii="Arial" w:hAnsi="Arial" w:cs="Arial"/>
          <w:sz w:val="20"/>
          <w:szCs w:val="20"/>
        </w:rPr>
      </w:pPr>
      <w:r>
        <w:rPr>
          <w:rStyle w:val="cf11"/>
        </w:rPr>
        <w:t xml:space="preserve">Most studies on litter decomposition are not comprehensive that they do investigate the decay rate of litter </w:t>
      </w:r>
      <w:proofErr w:type="gramStart"/>
      <w:r>
        <w:rPr>
          <w:rStyle w:val="cf11"/>
        </w:rPr>
        <w:t>component</w:t>
      </w:r>
      <w:proofErr w:type="gramEnd"/>
      <w:r>
        <w:rPr>
          <w:rStyle w:val="cf11"/>
        </w:rPr>
        <w:t xml:space="preserve"> other than cellulose, lignin</w:t>
      </w:r>
      <w:proofErr w:type="gramStart"/>
      <w:r>
        <w:rPr>
          <w:rStyle w:val="cf11"/>
        </w:rPr>
        <w:t>, proteins</w:t>
      </w:r>
      <w:proofErr w:type="gramEnd"/>
      <w:r>
        <w:rPr>
          <w:rStyle w:val="cf11"/>
        </w:rPr>
        <w:t>. For instance, lipids are often neglected. Our study gives a broad range of lipid decay rates. (Warren and Butler, 2023)</w:t>
      </w:r>
    </w:p>
    <w:p w14:paraId="5397D730" w14:textId="77777777" w:rsidR="00995D8B" w:rsidRDefault="00995D8B" w:rsidP="00995D8B">
      <w:pPr>
        <w:pStyle w:val="pf1"/>
        <w:numPr>
          <w:ilvl w:val="0"/>
          <w:numId w:val="2"/>
        </w:numPr>
        <w:rPr>
          <w:rFonts w:ascii="Arial" w:hAnsi="Arial" w:cs="Arial"/>
          <w:sz w:val="20"/>
          <w:szCs w:val="20"/>
        </w:rPr>
      </w:pPr>
      <w:r>
        <w:rPr>
          <w:rStyle w:val="cf11"/>
        </w:rPr>
        <w:t>Maybe link to biofuels?</w:t>
      </w:r>
    </w:p>
    <w:p w14:paraId="6481D5C2" w14:textId="33543EE5" w:rsidR="008A70A9" w:rsidRPr="00172B3F" w:rsidRDefault="008A70A9" w:rsidP="00172B3F">
      <w:pPr>
        <w:pStyle w:val="pf0"/>
        <w:rPr>
          <w:rFonts w:ascii="Segoe UI" w:hAnsi="Segoe UI" w:cs="Segoe UI"/>
          <w:sz w:val="18"/>
          <w:szCs w:val="18"/>
        </w:rPr>
      </w:pPr>
      <w:r>
        <w:rPr>
          <w:rStyle w:val="cf01"/>
        </w:rPr>
        <w:t>Paragraph 2:</w:t>
      </w:r>
      <w:r>
        <w:rPr>
          <w:rStyle w:val="cf11"/>
        </w:rPr>
        <w:t xml:space="preserve"> Bring the energetic constraints: From Gunina and </w:t>
      </w:r>
      <w:proofErr w:type="spellStart"/>
      <w:r>
        <w:rPr>
          <w:rStyle w:val="cf11"/>
        </w:rPr>
        <w:t>Kuzyakov</w:t>
      </w:r>
      <w:proofErr w:type="spellEnd"/>
      <w:r>
        <w:rPr>
          <w:rStyle w:val="cf11"/>
        </w:rPr>
        <w:t xml:space="preserve"> 2021, that as microbes decompose litter, </w:t>
      </w:r>
      <w:proofErr w:type="spellStart"/>
      <w:r>
        <w:rPr>
          <w:rStyle w:val="cf11"/>
        </w:rPr>
        <w:t>nosc</w:t>
      </w:r>
      <w:proofErr w:type="spellEnd"/>
      <w:r>
        <w:rPr>
          <w:rStyle w:val="cf11"/>
        </w:rPr>
        <w:t xml:space="preserve"> of litter decreases. Here we show how!! With MMM model pool description of litter, we can vary microbial growth efficiency under C limited </w:t>
      </w:r>
      <w:proofErr w:type="gramStart"/>
      <w:r>
        <w:rPr>
          <w:rStyle w:val="cf11"/>
        </w:rPr>
        <w:t>condition</w:t>
      </w:r>
      <w:proofErr w:type="gramEnd"/>
      <w:r>
        <w:rPr>
          <w:rStyle w:val="cf11"/>
        </w:rPr>
        <w:t xml:space="preserve"> based on its degree of reduction. This is feedback from bioenergetics. Otherwise, CUE under C limited condition is always considered constant.</w:t>
      </w:r>
      <w:r>
        <w:rPr>
          <w:rFonts w:ascii="Segoe UI" w:hAnsi="Segoe UI" w:cs="Segoe UI"/>
          <w:sz w:val="18"/>
          <w:szCs w:val="18"/>
        </w:rPr>
        <w:br/>
      </w:r>
      <w:r>
        <w:rPr>
          <w:rStyle w:val="cf11"/>
        </w:rPr>
        <w:t xml:space="preserve">more recent models addressing chemodiversity issue (examples from </w:t>
      </w:r>
      <w:proofErr w:type="spellStart"/>
      <w:r>
        <w:rPr>
          <w:rStyle w:val="cf11"/>
        </w:rPr>
        <w:t>Waverka</w:t>
      </w:r>
      <w:proofErr w:type="spellEnd"/>
      <w:r>
        <w:rPr>
          <w:rStyle w:val="cf11"/>
        </w:rPr>
        <w:t>, Khurana), FTICR data example from soil (energetic return on investment decreases with depth)</w:t>
      </w:r>
      <w:r w:rsidR="00172B3F">
        <w:rPr>
          <w:rStyle w:val="cf11"/>
        </w:rPr>
        <w:t xml:space="preserve"> </w:t>
      </w:r>
      <w:r>
        <w:rPr>
          <w:rStyle w:val="cf11"/>
        </w:rPr>
        <w:t>lipids also protect? (</w:t>
      </w:r>
      <w:proofErr w:type="spellStart"/>
      <w:r>
        <w:rPr>
          <w:rStyle w:val="cf11"/>
        </w:rPr>
        <w:t>Spaccini</w:t>
      </w:r>
      <w:proofErr w:type="spellEnd"/>
      <w:r>
        <w:rPr>
          <w:rStyle w:val="cf11"/>
        </w:rPr>
        <w:t xml:space="preserve"> et al., 2002)</w:t>
      </w:r>
    </w:p>
    <w:p w14:paraId="6F9F147D" w14:textId="77777777" w:rsidR="00172B3F" w:rsidRPr="00172B3F" w:rsidRDefault="00172B3F" w:rsidP="00172B3F">
      <w:pPr>
        <w:spacing w:before="100" w:beforeAutospacing="1" w:after="100" w:afterAutospacing="1" w:line="240" w:lineRule="auto"/>
        <w:rPr>
          <w:rFonts w:ascii="Arial" w:eastAsia="Times New Roman" w:hAnsi="Arial" w:cs="Arial"/>
          <w:sz w:val="20"/>
          <w:szCs w:val="20"/>
        </w:rPr>
      </w:pPr>
      <w:r w:rsidRPr="00172B3F">
        <w:rPr>
          <w:rFonts w:ascii="Segoe UI" w:eastAsia="Times New Roman" w:hAnsi="Segoe UI" w:cs="Segoe UI"/>
          <w:b/>
          <w:bCs/>
          <w:sz w:val="18"/>
          <w:szCs w:val="18"/>
        </w:rPr>
        <w:t>Paragraph 3:</w:t>
      </w:r>
      <w:r w:rsidRPr="00172B3F">
        <w:rPr>
          <w:rFonts w:ascii="Segoe UI" w:eastAsia="Times New Roman" w:hAnsi="Segoe UI" w:cs="Segoe UI"/>
          <w:sz w:val="18"/>
          <w:szCs w:val="18"/>
        </w:rPr>
        <w:t xml:space="preserve"> Models and data used to </w:t>
      </w:r>
      <w:proofErr w:type="gramStart"/>
      <w:r w:rsidRPr="00172B3F">
        <w:rPr>
          <w:rFonts w:ascii="Segoe UI" w:eastAsia="Times New Roman" w:hAnsi="Segoe UI" w:cs="Segoe UI"/>
          <w:sz w:val="18"/>
          <w:szCs w:val="18"/>
        </w:rPr>
        <w:t>parametrize of</w:t>
      </w:r>
      <w:proofErr w:type="gramEnd"/>
      <w:r w:rsidRPr="00172B3F">
        <w:rPr>
          <w:rFonts w:ascii="Segoe UI" w:eastAsia="Times New Roman" w:hAnsi="Segoe UI" w:cs="Segoe UI"/>
          <w:sz w:val="18"/>
          <w:szCs w:val="18"/>
        </w:rPr>
        <w:t xml:space="preserve"> litter decomposition</w:t>
      </w:r>
    </w:p>
    <w:p w14:paraId="44E1EAB5" w14:textId="77777777" w:rsidR="00172B3F" w:rsidRPr="00172B3F" w:rsidRDefault="00172B3F" w:rsidP="00172B3F">
      <w:pPr>
        <w:spacing w:before="100" w:beforeAutospacing="1" w:after="100" w:afterAutospacing="1" w:line="240" w:lineRule="auto"/>
        <w:rPr>
          <w:rFonts w:ascii="Arial" w:eastAsia="Times New Roman" w:hAnsi="Arial" w:cs="Arial"/>
          <w:sz w:val="20"/>
          <w:szCs w:val="20"/>
        </w:rPr>
      </w:pPr>
      <w:r w:rsidRPr="00172B3F">
        <w:rPr>
          <w:rFonts w:ascii="Segoe UI" w:eastAsia="Times New Roman" w:hAnsi="Segoe UI" w:cs="Segoe UI"/>
          <w:sz w:val="18"/>
          <w:szCs w:val="18"/>
        </w:rPr>
        <w:t>Talk about how litter decomposition models have evolved to use microbial metabolism; microbial succession models (Moorhead), optimal enzyme allocation model (</w:t>
      </w:r>
      <w:proofErr w:type="spellStart"/>
      <w:r w:rsidRPr="00172B3F">
        <w:rPr>
          <w:rFonts w:ascii="Segoe UI" w:eastAsia="Times New Roman" w:hAnsi="Segoe UI" w:cs="Segoe UI"/>
          <w:sz w:val="18"/>
          <w:szCs w:val="18"/>
        </w:rPr>
        <w:t>Wutzler</w:t>
      </w:r>
      <w:proofErr w:type="spellEnd"/>
      <w:r w:rsidRPr="00172B3F">
        <w:rPr>
          <w:rFonts w:ascii="Segoe UI" w:eastAsia="Times New Roman" w:hAnsi="Segoe UI" w:cs="Segoe UI"/>
          <w:sz w:val="18"/>
          <w:szCs w:val="18"/>
        </w:rPr>
        <w:t>, Chakrawal), cohort models (C-stability, Manzoni 2012, Göran Ågren 2021)</w:t>
      </w:r>
    </w:p>
    <w:p w14:paraId="29F5FFCA" w14:textId="77777777" w:rsidR="00172B3F" w:rsidRPr="00172B3F" w:rsidRDefault="00172B3F" w:rsidP="00172B3F">
      <w:pPr>
        <w:numPr>
          <w:ilvl w:val="0"/>
          <w:numId w:val="4"/>
        </w:numPr>
        <w:spacing w:before="100" w:beforeAutospacing="1" w:after="100" w:afterAutospacing="1" w:line="240" w:lineRule="auto"/>
        <w:rPr>
          <w:rFonts w:ascii="Arial" w:eastAsia="Times New Roman" w:hAnsi="Arial" w:cs="Arial"/>
          <w:sz w:val="20"/>
          <w:szCs w:val="20"/>
        </w:rPr>
      </w:pPr>
      <w:r w:rsidRPr="00172B3F">
        <w:rPr>
          <w:rFonts w:ascii="Segoe UI" w:eastAsia="Times New Roman" w:hAnsi="Segoe UI" w:cs="Segoe UI"/>
          <w:sz w:val="18"/>
          <w:szCs w:val="18"/>
        </w:rPr>
        <w:t xml:space="preserve">Traditional models: Old Century, Yasso, Moorhead models, recent MIMICS, SEAM, MEMS, Dement, more recent models addressing chemodiversity issue (examples from </w:t>
      </w:r>
      <w:proofErr w:type="spellStart"/>
      <w:r w:rsidRPr="00172B3F">
        <w:rPr>
          <w:rFonts w:ascii="Segoe UI" w:eastAsia="Times New Roman" w:hAnsi="Segoe UI" w:cs="Segoe UI"/>
          <w:sz w:val="18"/>
          <w:szCs w:val="18"/>
        </w:rPr>
        <w:t>Waverka</w:t>
      </w:r>
      <w:proofErr w:type="spellEnd"/>
      <w:r w:rsidRPr="00172B3F">
        <w:rPr>
          <w:rFonts w:ascii="Segoe UI" w:eastAsia="Times New Roman" w:hAnsi="Segoe UI" w:cs="Segoe UI"/>
          <w:sz w:val="18"/>
          <w:szCs w:val="18"/>
        </w:rPr>
        <w:t>, Khurana), FTICR data example from soil (energetic return on investment decreases with depth)</w:t>
      </w:r>
    </w:p>
    <w:p w14:paraId="5D62C0A6" w14:textId="77777777" w:rsidR="00172B3F" w:rsidRPr="00172B3F" w:rsidRDefault="00172B3F" w:rsidP="00172B3F">
      <w:pPr>
        <w:numPr>
          <w:ilvl w:val="0"/>
          <w:numId w:val="4"/>
        </w:numPr>
        <w:spacing w:before="100" w:beforeAutospacing="1" w:after="100" w:afterAutospacing="1" w:line="240" w:lineRule="auto"/>
        <w:rPr>
          <w:rFonts w:ascii="Arial" w:eastAsia="Times New Roman" w:hAnsi="Arial" w:cs="Arial"/>
          <w:sz w:val="20"/>
          <w:szCs w:val="20"/>
        </w:rPr>
      </w:pPr>
      <w:r w:rsidRPr="00172B3F">
        <w:rPr>
          <w:rFonts w:ascii="Segoe UI" w:eastAsia="Times New Roman" w:hAnsi="Segoe UI" w:cs="Segoe UI"/>
          <w:sz w:val="18"/>
          <w:szCs w:val="18"/>
        </w:rPr>
        <w:t>OMDY with NMR data</w:t>
      </w:r>
    </w:p>
    <w:p w14:paraId="30857919" w14:textId="77777777" w:rsidR="00172B3F" w:rsidRPr="00172B3F" w:rsidRDefault="00172B3F" w:rsidP="00172B3F">
      <w:pPr>
        <w:numPr>
          <w:ilvl w:val="0"/>
          <w:numId w:val="4"/>
        </w:numPr>
        <w:spacing w:before="100" w:beforeAutospacing="1" w:after="100" w:afterAutospacing="1" w:line="240" w:lineRule="auto"/>
        <w:rPr>
          <w:rFonts w:ascii="Arial" w:eastAsia="Times New Roman" w:hAnsi="Arial" w:cs="Arial"/>
          <w:sz w:val="20"/>
          <w:szCs w:val="20"/>
        </w:rPr>
      </w:pPr>
      <w:r w:rsidRPr="00172B3F">
        <w:rPr>
          <w:rFonts w:ascii="Segoe UI" w:eastAsia="Times New Roman" w:hAnsi="Segoe UI" w:cs="Segoe UI"/>
          <w:sz w:val="18"/>
          <w:szCs w:val="18"/>
        </w:rPr>
        <w:t>CUE decreases with lignin content because of increased oxidative enzyme demand, but what if we can predict decomposition patterns in sugars, proteins, lignin without this feedback?</w:t>
      </w:r>
    </w:p>
    <w:p w14:paraId="0B8370ED" w14:textId="77777777" w:rsidR="00172B3F" w:rsidRPr="007D3782" w:rsidRDefault="00172B3F" w:rsidP="00172B3F">
      <w:pPr>
        <w:numPr>
          <w:ilvl w:val="0"/>
          <w:numId w:val="4"/>
        </w:numPr>
        <w:spacing w:before="100" w:beforeAutospacing="1" w:after="100" w:afterAutospacing="1" w:line="240" w:lineRule="auto"/>
        <w:rPr>
          <w:rFonts w:ascii="Arial" w:eastAsia="Times New Roman" w:hAnsi="Arial" w:cs="Arial"/>
          <w:sz w:val="20"/>
          <w:szCs w:val="20"/>
        </w:rPr>
      </w:pPr>
      <w:r w:rsidRPr="00172B3F">
        <w:rPr>
          <w:rFonts w:ascii="Segoe UI" w:eastAsia="Times New Roman" w:hAnsi="Segoe UI" w:cs="Segoe UI"/>
          <w:sz w:val="18"/>
          <w:szCs w:val="18"/>
        </w:rPr>
        <w:t>Add more on C, N mass loss from litter bag incubation (examples from Sierra, Moorehead, Manzoni), proximate analysis (Moorehead, MEMS)?</w:t>
      </w:r>
    </w:p>
    <w:p w14:paraId="46B9A42F" w14:textId="77777777" w:rsidR="007D3782" w:rsidRDefault="007D3782" w:rsidP="007D3782">
      <w:pPr>
        <w:spacing w:before="100" w:beforeAutospacing="1" w:after="100" w:afterAutospacing="1" w:line="240" w:lineRule="auto"/>
        <w:rPr>
          <w:rFonts w:ascii="Segoe UI" w:eastAsia="Times New Roman" w:hAnsi="Segoe UI" w:cs="Segoe UI"/>
          <w:sz w:val="18"/>
          <w:szCs w:val="18"/>
        </w:rPr>
      </w:pPr>
    </w:p>
    <w:p w14:paraId="570BFB32" w14:textId="77777777" w:rsidR="007D3782" w:rsidRDefault="007D3782" w:rsidP="007D3782">
      <w:pPr>
        <w:spacing w:before="100" w:beforeAutospacing="1" w:after="100" w:afterAutospacing="1" w:line="240" w:lineRule="auto"/>
        <w:rPr>
          <w:rFonts w:ascii="Segoe UI" w:eastAsia="Times New Roman" w:hAnsi="Segoe UI" w:cs="Segoe UI"/>
          <w:sz w:val="18"/>
          <w:szCs w:val="18"/>
        </w:rPr>
      </w:pPr>
    </w:p>
    <w:p w14:paraId="6E9F275B" w14:textId="77777777" w:rsidR="007D3782" w:rsidRDefault="007D3782" w:rsidP="007D3782">
      <w:pPr>
        <w:spacing w:before="100" w:beforeAutospacing="1" w:after="100" w:afterAutospacing="1" w:line="240" w:lineRule="auto"/>
        <w:rPr>
          <w:rFonts w:ascii="Segoe UI" w:eastAsia="Times New Roman" w:hAnsi="Segoe UI" w:cs="Segoe UI"/>
          <w:sz w:val="18"/>
          <w:szCs w:val="18"/>
        </w:rPr>
      </w:pPr>
    </w:p>
    <w:p w14:paraId="5BB6C903" w14:textId="77777777" w:rsidR="007D3782" w:rsidRPr="00172B3F" w:rsidRDefault="007D3782" w:rsidP="007D3782">
      <w:pPr>
        <w:spacing w:before="100" w:beforeAutospacing="1" w:after="100" w:afterAutospacing="1" w:line="240" w:lineRule="auto"/>
        <w:rPr>
          <w:rFonts w:ascii="Arial" w:eastAsia="Times New Roman" w:hAnsi="Arial" w:cs="Arial"/>
          <w:sz w:val="20"/>
          <w:szCs w:val="20"/>
        </w:rPr>
      </w:pPr>
    </w:p>
    <w:p w14:paraId="4AE649BA" w14:textId="77777777" w:rsidR="001C5D65" w:rsidRDefault="001C5D65" w:rsidP="001C5D65"/>
    <w:p w14:paraId="7FA7357D" w14:textId="77777777" w:rsidR="001C5D65" w:rsidRDefault="001C5D65" w:rsidP="001C5D65">
      <w:pPr>
        <w:pStyle w:val="Heading2"/>
      </w:pPr>
      <w:r>
        <w:t>Model limitations and Sources of Uncertainty</w:t>
      </w:r>
    </w:p>
    <w:p w14:paraId="4CBC0335" w14:textId="77777777" w:rsidR="001C5D65" w:rsidRDefault="001C5D65" w:rsidP="001C5D65">
      <w:r>
        <w:t xml:space="preserve">Despite strong model-data agreement, estimated parameters varied across several orders of magnitude, reflecting underlying equifinality and uncertainty in observational constraints. A major source of this uncertainty lies in the limited availability and inconsistency of </w:t>
      </w:r>
      <w:proofErr w:type="gramStart"/>
      <w:r>
        <w:t>input data</w:t>
      </w:r>
      <w:proofErr w:type="gramEnd"/>
      <w:r>
        <w:t xml:space="preserve">. Because ¹³C NMR measurements are resource-intensive, datasets often lacked synchronized reporting of total C, total N, and molecular composition, necessitating selective inclusion of available variables during model calibration. Additionally, chemical shift assignments used to estimate the five compound classes were not standardized across studies, requiring harmonization of spectral boundaries that likely introduced additional uncertainty into the derived chemical fractions. These data limitations reduce the ability to uniquely constrain kinetic parameters and may lead to compensatory effects among them, even in chemically explicit models. Although the incorporation of a lignin-based rate modifier improved mechanistic representation of decay inhibition, the model structure does not account for dynamic environmental drivers such as temperature and moisture, and estimated rate constants reflect average rather than time-varying conditions. </w:t>
      </w:r>
    </w:p>
    <w:p w14:paraId="63D3D966" w14:textId="77777777" w:rsidR="001C5D65" w:rsidRDefault="001C5D65" w:rsidP="001C5D65">
      <w:r>
        <w:t>These findings underscore the need for harmonized, high-resolution litter chemistry datasets with consistent temporal coverage, alongside structural model improvements, to better constrain decomposition dynamics and reduce uncertainty in model predictions.</w:t>
      </w:r>
    </w:p>
    <w:p w14:paraId="51481364" w14:textId="77777777" w:rsidR="001C5D65" w:rsidRDefault="001C5D65" w:rsidP="001C5D65">
      <w:r>
        <w:rPr>
          <w:rStyle w:val="overflow-hidden"/>
        </w:rPr>
        <w:t>4o</w:t>
      </w:r>
    </w:p>
    <w:p w14:paraId="551CCE66" w14:textId="77777777" w:rsidR="001C5D65" w:rsidRPr="00F34CA8" w:rsidRDefault="001C5D65" w:rsidP="001C5D65"/>
    <w:p w14:paraId="4D270E8C" w14:textId="77777777" w:rsidR="001C5D65" w:rsidRDefault="001C5D65" w:rsidP="001C5D65">
      <w:pPr>
        <w:pStyle w:val="ListParagraph"/>
        <w:numPr>
          <w:ilvl w:val="0"/>
          <w:numId w:val="11"/>
        </w:numPr>
      </w:pPr>
      <w:r>
        <w:t>Data limitation and uncertainty in assigning spectra to OC</w:t>
      </w:r>
    </w:p>
    <w:p w14:paraId="6E65F57C" w14:textId="77777777" w:rsidR="001C5D65" w:rsidRDefault="001C5D65" w:rsidP="001C5D65">
      <w:pPr>
        <w:pStyle w:val="ListParagraph"/>
        <w:numPr>
          <w:ilvl w:val="1"/>
          <w:numId w:val="11"/>
        </w:numPr>
      </w:pPr>
      <w:r>
        <w:t xml:space="preserve">We are modeling the state of art accuracy for chemical composition of litter, but it comes with its own limitations, </w:t>
      </w:r>
      <w:proofErr w:type="gramStart"/>
      <w:r>
        <w:t>bring</w:t>
      </w:r>
      <w:proofErr w:type="gramEnd"/>
      <w:r>
        <w:t xml:space="preserve"> the point about uncertainty in assigning spectra to OC-&gt; probably in limitations</w:t>
      </w:r>
    </w:p>
    <w:p w14:paraId="58879413" w14:textId="77777777" w:rsidR="001C5D65" w:rsidRDefault="001C5D65" w:rsidP="001C5D65">
      <w:pPr>
        <w:pStyle w:val="ListParagraph"/>
        <w:numPr>
          <w:ilvl w:val="0"/>
          <w:numId w:val="12"/>
        </w:numPr>
      </w:pPr>
      <w:r>
        <w:t xml:space="preserve">Not accounting for temperature and soil moisture variability in estimated rate constants </w:t>
      </w:r>
    </w:p>
    <w:p w14:paraId="64488AD2" w14:textId="77777777" w:rsidR="001C5D65" w:rsidRDefault="001C5D65" w:rsidP="001C5D65">
      <w:pPr>
        <w:pStyle w:val="ListParagraph"/>
        <w:numPr>
          <w:ilvl w:val="0"/>
          <w:numId w:val="12"/>
        </w:numPr>
      </w:pPr>
      <w:r>
        <w:t>Include limitation from lignin modifier story</w:t>
      </w:r>
    </w:p>
    <w:p w14:paraId="4E028609" w14:textId="77777777" w:rsidR="001C5D65" w:rsidRDefault="001C5D65" w:rsidP="001C5D65">
      <w:pPr>
        <w:pStyle w:val="ListParagraph"/>
        <w:numPr>
          <w:ilvl w:val="0"/>
          <w:numId w:val="12"/>
        </w:numPr>
      </w:pPr>
    </w:p>
    <w:p w14:paraId="51DCE8C0" w14:textId="77777777" w:rsidR="001C5D65" w:rsidRDefault="001C5D65" w:rsidP="001C5D65"/>
    <w:p w14:paraId="22D9F3A8" w14:textId="77777777" w:rsidR="001C5D65" w:rsidRDefault="001C5D65" w:rsidP="001C5D65">
      <w:pPr>
        <w:pStyle w:val="Heading2"/>
      </w:pPr>
      <w:r>
        <w:t>Paradigm shift in modeling litter decomposition, where to go from here?</w:t>
      </w:r>
    </w:p>
    <w:p w14:paraId="1E6528B5" w14:textId="77777777" w:rsidR="001C5D65" w:rsidRDefault="001C5D65" w:rsidP="001C5D65">
      <w:pPr>
        <w:tabs>
          <w:tab w:val="left" w:pos="5530"/>
        </w:tabs>
      </w:pPr>
      <w:r>
        <w:t>What can you do with this model?</w:t>
      </w:r>
    </w:p>
    <w:p w14:paraId="29D775D5" w14:textId="77777777" w:rsidR="001C5D65" w:rsidRDefault="001C5D65" w:rsidP="001C5D65">
      <w:pPr>
        <w:pStyle w:val="ListParagraph"/>
        <w:numPr>
          <w:ilvl w:val="0"/>
          <w:numId w:val="13"/>
        </w:numPr>
        <w:tabs>
          <w:tab w:val="left" w:pos="5530"/>
        </w:tabs>
      </w:pPr>
      <w:r>
        <w:t>Plant chemical diversity is linked with soil C stabilization.</w:t>
      </w:r>
    </w:p>
    <w:p w14:paraId="49D02A32" w14:textId="77777777" w:rsidR="001C5D65" w:rsidRDefault="001C5D65" w:rsidP="001C5D65">
      <w:pPr>
        <w:pStyle w:val="ListParagraph"/>
        <w:numPr>
          <w:ilvl w:val="0"/>
          <w:numId w:val="13"/>
        </w:numPr>
      </w:pPr>
      <w:r>
        <w:t>Application of the new model to understand the energetic status of C entering soil?</w:t>
      </w:r>
    </w:p>
    <w:p w14:paraId="51EF9462" w14:textId="77777777" w:rsidR="001C5D65" w:rsidRPr="00145721" w:rsidRDefault="001C5D65" w:rsidP="001C5D65">
      <w:pPr>
        <w:pStyle w:val="ListParagraph"/>
        <w:numPr>
          <w:ilvl w:val="1"/>
          <w:numId w:val="13"/>
        </w:numPr>
      </w:pPr>
      <w:r>
        <w:t xml:space="preserve">Model can simulate dynamic changes in DR of overall litter which can be used to study the  </w:t>
      </w:r>
    </w:p>
    <w:p w14:paraId="6F1C53BB" w14:textId="77777777" w:rsidR="001C5D65" w:rsidRPr="00415BD6" w:rsidRDefault="001C5D65" w:rsidP="001C5D65">
      <w:pPr>
        <w:pStyle w:val="ListParagraph"/>
        <w:numPr>
          <w:ilvl w:val="1"/>
          <w:numId w:val="13"/>
        </w:numPr>
      </w:pPr>
      <w:r>
        <w:t xml:space="preserve">Microbial </w:t>
      </w:r>
      <w:proofErr w:type="spellStart"/>
      <w:r>
        <w:t>necroass</w:t>
      </w:r>
      <w:proofErr w:type="spellEnd"/>
      <w:r>
        <w:t xml:space="preserve"> as precursor to SOM. </w:t>
      </w:r>
      <w:r w:rsidRPr="00415BD6">
        <w:t xml:space="preserve">Use your model output to estimate the </w:t>
      </w:r>
      <w:r w:rsidRPr="00823209">
        <w:rPr>
          <w:b/>
          <w:bCs/>
        </w:rPr>
        <w:t>relative contribution of each chemical class (e.g., protein, lignin, lipid)</w:t>
      </w:r>
      <w:r w:rsidRPr="00415BD6">
        <w:t xml:space="preserve"> to microbial necromass </w:t>
      </w:r>
      <w:r w:rsidRPr="00415BD6">
        <w:lastRenderedPageBreak/>
        <w:t xml:space="preserve">or dissolved organic matter (DOM), which are precursors to SOM formation. This helps demonstrate how chemical resolution links to </w:t>
      </w:r>
      <w:r w:rsidRPr="00823209">
        <w:rPr>
          <w:b/>
          <w:bCs/>
        </w:rPr>
        <w:t>long-term C persistence pathways</w:t>
      </w:r>
      <w:r w:rsidRPr="00415BD6">
        <w:t>.</w:t>
      </w:r>
      <w:r>
        <w:t xml:space="preserve"> How would different litter type under different N adaptation condition change necromass chemistry? </w:t>
      </w:r>
    </w:p>
    <w:p w14:paraId="2CC52EDC" w14:textId="77777777" w:rsidR="001C5D65" w:rsidRDefault="001C5D65" w:rsidP="001C5D65">
      <w:pPr>
        <w:pStyle w:val="ListParagraph"/>
        <w:numPr>
          <w:ilvl w:val="0"/>
          <w:numId w:val="13"/>
        </w:numPr>
        <w:tabs>
          <w:tab w:val="left" w:pos="5530"/>
        </w:tabs>
      </w:pPr>
    </w:p>
    <w:p w14:paraId="23A38690" w14:textId="77777777" w:rsidR="001C5D65" w:rsidRDefault="001C5D65" w:rsidP="001C5D65">
      <w:r>
        <w:t xml:space="preserve">High resolution mass spectroscopy methods such as the </w:t>
      </w:r>
      <w:r w:rsidRPr="00DB4A8C">
        <w:rPr>
          <w:vertAlign w:val="superscript"/>
        </w:rPr>
        <w:t>13</w:t>
      </w:r>
      <w:r>
        <w:t xml:space="preserve">C NMR allow us to accurately describe the molecular scale chemical diversity of plant litter and thus develop process-based models capable of incorporating more detailed process descriptors of the role of litter chemical composition on its turnover rates. </w:t>
      </w:r>
    </w:p>
    <w:p w14:paraId="536E1794" w14:textId="77777777" w:rsidR="001C5D65" w:rsidRDefault="001C5D65" w:rsidP="001C5D65">
      <w:pPr>
        <w:tabs>
          <w:tab w:val="left" w:pos="5530"/>
        </w:tabs>
      </w:pPr>
    </w:p>
    <w:p w14:paraId="418B7DBB" w14:textId="77777777" w:rsidR="001C5D65" w:rsidRDefault="001C5D65" w:rsidP="001C5D65">
      <w:r>
        <w:t xml:space="preserve"> novel modeling framework that incorporates and takes advantage of these data to understand the mechanisms of inhibition of carbohydrate and protein decay due to lignin protection in litter decomposition by incorporating a lignin rate modifier. We further analyzed how such a rate modifier would affect simulations of microbial-driven processes related to litter turnover and compared model performance with and without using lignin modifiers.</w:t>
      </w:r>
    </w:p>
    <w:p w14:paraId="1F63372B" w14:textId="77777777" w:rsidR="001C5D65" w:rsidRDefault="001C5D65" w:rsidP="001C5D65">
      <w:r>
        <w:t xml:space="preserve">Such models lack the resolution necessary to capture intra-molecular interactions (5) like lignin protection, which can create a bottleneck during litter decomposition (3,4). Our model framework bridges this gap as it can readily include NMR spectral data converted into five traditional litter pools using molecular mixing models (5). Furthermore, it allows us to explore the effects of chemodiversity by more accurately describing the litter fractions in each type of litter material. The use of highly resolved litter descriptions has not only been suggested from modeling but also empirical studies looking at the effects of distinct lignin chemistries on litter turnover rates (9). </w:t>
      </w:r>
    </w:p>
    <w:p w14:paraId="3C4823FE" w14:textId="77777777" w:rsidR="001C5D65" w:rsidRDefault="001C5D65" w:rsidP="001C5D65">
      <w:r>
        <w:t xml:space="preserve">However, high resolution in litter data does not fully resolve the persistent issue of equifinality in biogeochemical models (6). This becomes evident by the remaining uncertainty in kinetic parameter fits, which vary across many orders of magnitude and are even comparable to parameter fits using more traditional models. The many reasons why different models can fit empirical observations with comparable performance metrics can be summarized as either the data not providing sufficient information to constrain model parameters or because of compensation among parameter combinations (6). By adding high-resolution litter data, it is possible that equifinality issues in our results are mainly driven by compensatory effects of the kinetic parameters. </w:t>
      </w:r>
    </w:p>
    <w:p w14:paraId="3699AA08" w14:textId="77777777" w:rsidR="001C5D65" w:rsidRDefault="001C5D65" w:rsidP="001C5D65"/>
    <w:p w14:paraId="401CB7D1" w14:textId="77777777" w:rsidR="001C5D65" w:rsidRPr="007E0517" w:rsidRDefault="001C5D65" w:rsidP="001C5D65"/>
    <w:p w14:paraId="28C4AEA2" w14:textId="77777777" w:rsidR="001C5D65" w:rsidRDefault="001C5D65" w:rsidP="001C5D65">
      <w:r>
        <w:t xml:space="preserve">There </w:t>
      </w:r>
      <w:proofErr w:type="gramStart"/>
      <w:r>
        <w:t>four</w:t>
      </w:r>
      <w:proofErr w:type="gramEnd"/>
      <w:r>
        <w:t xml:space="preserve"> nobs in the model. </w:t>
      </w:r>
    </w:p>
    <w:p w14:paraId="1C6C514C" w14:textId="77777777" w:rsidR="001C5D65" w:rsidRDefault="001C5D65" w:rsidP="001C5D65">
      <w:pPr>
        <w:pStyle w:val="ListParagraph"/>
        <w:numPr>
          <w:ilvl w:val="0"/>
          <w:numId w:val="6"/>
        </w:numPr>
      </w:pPr>
      <w:r>
        <w:t>Protection on and off: Protection of Ch and P decreases their uptake.</w:t>
      </w:r>
    </w:p>
    <w:p w14:paraId="02779F4A" w14:textId="77777777" w:rsidR="001C5D65" w:rsidRDefault="001C5D65" w:rsidP="001C5D65">
      <w:pPr>
        <w:pStyle w:val="ListParagraph"/>
        <w:numPr>
          <w:ilvl w:val="0"/>
          <w:numId w:val="6"/>
        </w:numPr>
      </w:pPr>
      <w:r>
        <w:t xml:space="preserve">Oxidative enzyme on and off: Investment in oxidative enzymes decreases CUE, thus G, thus T-&gt; less microbial turnover in substrate pool. </w:t>
      </w:r>
    </w:p>
    <w:p w14:paraId="422682B8" w14:textId="77777777" w:rsidR="001C5D65" w:rsidRDefault="001C5D65" w:rsidP="001C5D65">
      <w:pPr>
        <w:pStyle w:val="ListParagraph"/>
        <w:numPr>
          <w:ilvl w:val="0"/>
          <w:numId w:val="6"/>
        </w:numPr>
      </w:pPr>
      <w:r>
        <w:t>Oxidative enzyme time invariant vs variant. If variant (</w:t>
      </w:r>
      <w:proofErr w:type="spellStart"/>
      <w:r>
        <w:t>vO</w:t>
      </w:r>
      <w:proofErr w:type="spellEnd"/>
      <w:r>
        <w:t>) then having more lignin increases its uptake</w:t>
      </w:r>
    </w:p>
    <w:p w14:paraId="5A71A676" w14:textId="77777777" w:rsidR="001C5D65" w:rsidRDefault="001C5D65" w:rsidP="001C5D65">
      <w:pPr>
        <w:pStyle w:val="ListParagraph"/>
        <w:numPr>
          <w:ilvl w:val="0"/>
          <w:numId w:val="6"/>
        </w:numPr>
      </w:pPr>
      <w:r>
        <w:lastRenderedPageBreak/>
        <w:t xml:space="preserve">N limitation strategy N retention vs flexible CUE: N retention tends to keep more N in the by recycling it, flexible CUE increases </w:t>
      </w:r>
      <w:proofErr w:type="gramStart"/>
      <w:r>
        <w:t>waster</w:t>
      </w:r>
      <w:proofErr w:type="gramEnd"/>
      <w:r>
        <w:t xml:space="preserve"> of C through overflow respiration when </w:t>
      </w:r>
      <w:proofErr w:type="gramStart"/>
      <w:r>
        <w:t>there</w:t>
      </w:r>
      <w:proofErr w:type="gramEnd"/>
      <w:r>
        <w:t xml:space="preserve"> N limitation</w:t>
      </w:r>
    </w:p>
    <w:p w14:paraId="550BD0A3" w14:textId="77777777" w:rsidR="001C5D65" w:rsidRDefault="001C5D65" w:rsidP="001C5D65">
      <w:r>
        <w:t>Figure S2:</w:t>
      </w:r>
    </w:p>
    <w:p w14:paraId="414FD9E7" w14:textId="77777777" w:rsidR="001C5D65" w:rsidRDefault="001C5D65" w:rsidP="001C5D65">
      <w:pPr>
        <w:pStyle w:val="ListParagraph"/>
        <w:numPr>
          <w:ilvl w:val="0"/>
          <w:numId w:val="8"/>
        </w:numPr>
      </w:pPr>
      <w:r>
        <w:t xml:space="preserve">useful figure to show how range of variations in NMR fractions across compounds. Gives </w:t>
      </w:r>
      <w:proofErr w:type="gramStart"/>
      <w:r>
        <w:t>a perspective</w:t>
      </w:r>
      <w:proofErr w:type="gramEnd"/>
      <w:r>
        <w:t xml:space="preserve"> there is mostly carbs, lipids and  lignins in litter. (it does not add too much to </w:t>
      </w:r>
      <w:proofErr w:type="gramStart"/>
      <w:r>
        <w:t>story</w:t>
      </w:r>
      <w:proofErr w:type="gramEnd"/>
      <w:r>
        <w:t xml:space="preserve"> so I am open to push it to SI, if needed)</w:t>
      </w:r>
    </w:p>
    <w:p w14:paraId="2F6740D8" w14:textId="77777777" w:rsidR="001C5D65" w:rsidRDefault="001C5D65" w:rsidP="001C5D65">
      <w:r>
        <w:t xml:space="preserve">Figure 2: I would like this figure to be presented as model exploration figure to describe model capabilities. See figure S3 as well. </w:t>
      </w:r>
    </w:p>
    <w:p w14:paraId="272F74B7" w14:textId="77777777" w:rsidR="001C5D65" w:rsidRDefault="001C5D65" w:rsidP="001C5D65">
      <w:pPr>
        <w:pStyle w:val="ListParagraph"/>
        <w:numPr>
          <w:ilvl w:val="0"/>
          <w:numId w:val="7"/>
        </w:numPr>
      </w:pPr>
      <w:r>
        <w:t>We focus mainly on N Retention strategy and CUE regulation is used for model performance comparison</w:t>
      </w:r>
    </w:p>
    <w:p w14:paraId="629D4694" w14:textId="77777777" w:rsidR="001C5D65" w:rsidRDefault="001C5D65" w:rsidP="001C5D65">
      <w:pPr>
        <w:pStyle w:val="ListParagraph"/>
        <w:numPr>
          <w:ilvl w:val="0"/>
          <w:numId w:val="7"/>
        </w:numPr>
      </w:pPr>
      <w:r>
        <w:t xml:space="preserve">model exploration figure. How does C [gC] in different </w:t>
      </w:r>
      <w:proofErr w:type="gramStart"/>
      <w:r>
        <w:t>pool</w:t>
      </w:r>
      <w:proofErr w:type="gramEnd"/>
      <w:r>
        <w:t xml:space="preserve"> </w:t>
      </w:r>
      <w:proofErr w:type="gramStart"/>
      <w:r>
        <w:t>changes</w:t>
      </w:r>
      <w:proofErr w:type="gramEnd"/>
      <w:r>
        <w:t xml:space="preserve"> with different scenarios under N retention </w:t>
      </w:r>
      <w:proofErr w:type="spellStart"/>
      <w:r>
        <w:t>strat</w:t>
      </w:r>
      <w:proofErr w:type="spellEnd"/>
      <w:r>
        <w:t xml:space="preserve">. </w:t>
      </w:r>
    </w:p>
    <w:p w14:paraId="46A97B26" w14:textId="77777777" w:rsidR="001C5D65" w:rsidRPr="00614C51" w:rsidRDefault="001C5D65" w:rsidP="001C5D65">
      <w:pPr>
        <w:pStyle w:val="ListParagraph"/>
        <w:numPr>
          <w:ilvl w:val="0"/>
          <w:numId w:val="7"/>
        </w:numPr>
        <w:rPr>
          <w:rFonts w:eastAsiaTheme="minorEastAsia"/>
        </w:rPr>
      </w:pPr>
      <w:r>
        <w:t xml:space="preserve">In NPNE, </w:t>
      </w:r>
      <w:proofErr w:type="gramStart"/>
      <w:r>
        <w:t>no</w:t>
      </w:r>
      <w:proofErr w:type="gramEnd"/>
      <w:r>
        <w:t xml:space="preserve"> protection and no incurred cost to oxidative enzyme, allowed microbes to uptake C containing </w:t>
      </w:r>
      <w:proofErr w:type="gramStart"/>
      <w:r>
        <w:t>compound</w:t>
      </w:r>
      <w:proofErr w:type="gramEnd"/>
      <w:r>
        <w:t xml:space="preserve"> at a maximum rate leading to prolonged period of N limitation (</w:t>
      </w:r>
      <m:oMath>
        <m:r>
          <w:rPr>
            <w:rFonts w:ascii="Cambria Math" w:hAnsi="Cambria Math"/>
          </w:rPr>
          <m:t>η</m:t>
        </m:r>
      </m:oMath>
      <w:r w:rsidRPr="00614C51">
        <w:rPr>
          <w:rFonts w:eastAsiaTheme="minorEastAsia"/>
        </w:rPr>
        <w:t xml:space="preserve">&gt;0 for a year). This also implied longer period </w:t>
      </w:r>
      <w:proofErr w:type="gramStart"/>
      <w:r w:rsidRPr="00614C51">
        <w:rPr>
          <w:rFonts w:eastAsiaTheme="minorEastAsia"/>
        </w:rPr>
        <w:t>of N</w:t>
      </w:r>
      <w:proofErr w:type="gramEnd"/>
      <w:r w:rsidRPr="00614C51">
        <w:rPr>
          <w:rFonts w:eastAsiaTheme="minorEastAsia"/>
        </w:rPr>
        <w:t xml:space="preserve"> retention in necromass increasing protein pool size. </w:t>
      </w:r>
    </w:p>
    <w:p w14:paraId="6EE64368" w14:textId="77777777" w:rsidR="001C5D65" w:rsidRDefault="001C5D65" w:rsidP="001C5D65">
      <w:pPr>
        <w:pStyle w:val="ListParagraph"/>
        <w:numPr>
          <w:ilvl w:val="0"/>
          <w:numId w:val="7"/>
        </w:numPr>
      </w:pPr>
      <w:r w:rsidRPr="00614C51">
        <w:rPr>
          <w:rFonts w:eastAsiaTheme="minorEastAsia"/>
        </w:rPr>
        <w:t xml:space="preserve">In NPWE, </w:t>
      </w:r>
      <w:r>
        <w:t xml:space="preserve">no protection, but incurring cost to oxidative enzyme, reduced CUE to more than half of max CUE, which lead to low growth and necromass recycling, thus overall loss of protein pool. Interestingly, </w:t>
      </w:r>
      <w:proofErr w:type="gramStart"/>
      <w:r>
        <w:t>lower</w:t>
      </w:r>
      <w:proofErr w:type="gramEnd"/>
      <w:r>
        <w:t xml:space="preserve"> growth rate reflected </w:t>
      </w:r>
      <w:proofErr w:type="gramStart"/>
      <w:r>
        <w:t>lower</w:t>
      </w:r>
      <w:proofErr w:type="gramEnd"/>
      <w:r>
        <w:t xml:space="preserve"> N demand as the N limitation period was smallest in this case. </w:t>
      </w:r>
    </w:p>
    <w:p w14:paraId="12B4EE7C" w14:textId="77777777" w:rsidR="001C5D65" w:rsidRDefault="001C5D65" w:rsidP="001C5D65">
      <w:pPr>
        <w:pStyle w:val="ListParagraph"/>
        <w:numPr>
          <w:ilvl w:val="0"/>
          <w:numId w:val="7"/>
        </w:numPr>
      </w:pPr>
      <w:r>
        <w:t xml:space="preserve">In PWOE, protection of Ch and P relatively reduced their availability so there is lower decay of Ch. </w:t>
      </w:r>
    </w:p>
    <w:p w14:paraId="422DCEB5" w14:textId="77777777" w:rsidR="001C5D65" w:rsidRDefault="001C5D65" w:rsidP="001C5D65">
      <w:pPr>
        <w:pStyle w:val="ListParagraph"/>
        <w:numPr>
          <w:ilvl w:val="0"/>
          <w:numId w:val="7"/>
        </w:numPr>
      </w:pPr>
      <w:r>
        <w:t xml:space="preserve">IN PWOV, time variant </w:t>
      </w:r>
      <w:proofErr w:type="spellStart"/>
      <w:r>
        <w:t>vO</w:t>
      </w:r>
      <w:proofErr w:type="spellEnd"/>
      <w:r>
        <w:t xml:space="preserve"> is lower than its max value in PWOE, which reduced lignin decay. </w:t>
      </w:r>
    </w:p>
    <w:p w14:paraId="725FD06A" w14:textId="77777777" w:rsidR="001C5D65" w:rsidRDefault="001C5D65" w:rsidP="001C5D65"/>
    <w:p w14:paraId="60CB6A77" w14:textId="77777777" w:rsidR="001C5D65" w:rsidRDefault="001C5D65" w:rsidP="001C5D65">
      <w:r>
        <w:t>Figure 3:</w:t>
      </w:r>
    </w:p>
    <w:p w14:paraId="76C05016" w14:textId="77777777" w:rsidR="001C5D65" w:rsidRDefault="001C5D65" w:rsidP="001C5D65">
      <w:pPr>
        <w:pStyle w:val="NormalWeb"/>
        <w:numPr>
          <w:ilvl w:val="0"/>
          <w:numId w:val="9"/>
        </w:numPr>
        <w:spacing w:before="0" w:beforeAutospacing="0" w:after="160" w:afterAutospacing="0"/>
      </w:pPr>
      <w:r>
        <w:rPr>
          <w:rFonts w:ascii="Aptos" w:hAnsi="Aptos"/>
          <w:color w:val="000000"/>
          <w:sz w:val="22"/>
          <w:szCs w:val="22"/>
        </w:rPr>
        <w:t>We obtained comparable model predictions of the five litter fractions, despite the high variability in the litter pools estimated using the molecular mixing model and NMR data. </w:t>
      </w:r>
    </w:p>
    <w:p w14:paraId="4ACD5BAB" w14:textId="77777777" w:rsidR="001C5D65" w:rsidRDefault="001C5D65" w:rsidP="001C5D65">
      <w:pPr>
        <w:pStyle w:val="NormalWeb"/>
        <w:numPr>
          <w:ilvl w:val="0"/>
          <w:numId w:val="9"/>
        </w:numPr>
        <w:spacing w:before="0" w:beforeAutospacing="0" w:after="160" w:afterAutospacing="0"/>
      </w:pPr>
      <w:r>
        <w:rPr>
          <w:rFonts w:ascii="Aptos" w:hAnsi="Aptos"/>
          <w:color w:val="000000"/>
          <w:sz w:val="22"/>
          <w:szCs w:val="22"/>
        </w:rPr>
        <w:t xml:space="preserve">However, model fits are heavily influenced by data availability or by the uncertainty in localizing certain NMR spectra to the litter fractions. Thus, fractions like protein and carbonyl do perform the worst regardless of the model scenario used. </w:t>
      </w:r>
    </w:p>
    <w:p w14:paraId="43429CBE" w14:textId="77777777" w:rsidR="001C5D65" w:rsidRDefault="001C5D65" w:rsidP="001C5D65">
      <w:r>
        <w:t>Figure 4:</w:t>
      </w:r>
    </w:p>
    <w:p w14:paraId="6D83F4E5" w14:textId="77777777" w:rsidR="001C5D65" w:rsidRDefault="001C5D65" w:rsidP="001C5D65">
      <w:pPr>
        <w:pStyle w:val="ListParagraph"/>
        <w:numPr>
          <w:ilvl w:val="0"/>
          <w:numId w:val="10"/>
        </w:numPr>
      </w:pPr>
      <w:r>
        <w:t xml:space="preserve">Model performance figure: comparing NSE/RMSE . NSE = 1: Perfect match between model and observations. 0 &lt; NSE &lt; 1: Model is better than the mean but not perfect.  NSE = 0: Model predictions are as accurate as using the mean of the observed values. NSE &lt; 0: Model is worse than simply using the </w:t>
      </w:r>
      <w:proofErr w:type="gramStart"/>
      <w:r>
        <w:t>mean</w:t>
      </w:r>
      <w:proofErr w:type="gramEnd"/>
      <w:r>
        <w:t xml:space="preserve"> of </w:t>
      </w:r>
      <w:proofErr w:type="gramStart"/>
      <w:r>
        <w:t>the observations</w:t>
      </w:r>
      <w:proofErr w:type="gramEnd"/>
      <w:r>
        <w:t>.</w:t>
      </w:r>
    </w:p>
    <w:p w14:paraId="7A56E727" w14:textId="77777777" w:rsidR="001C5D65" w:rsidRDefault="001C5D65" w:rsidP="001C5D65">
      <w:pPr>
        <w:pStyle w:val="ListParagraph"/>
        <w:numPr>
          <w:ilvl w:val="0"/>
          <w:numId w:val="10"/>
        </w:numPr>
      </w:pPr>
      <w:r>
        <w:t xml:space="preserve">Model does a poor job in predicting protein dynamics. Figure had large negative values of </w:t>
      </w:r>
      <w:proofErr w:type="gramStart"/>
      <w:r>
        <w:t>NSE</w:t>
      </w:r>
      <w:proofErr w:type="gramEnd"/>
      <w:r>
        <w:t xml:space="preserve"> so I had to cut the y axis to -2 to make it visually appealing. That’s why I included % NSE&lt;0 to be transparent. </w:t>
      </w:r>
    </w:p>
    <w:p w14:paraId="72EECE02" w14:textId="77777777" w:rsidR="001C5D65" w:rsidRDefault="001C5D65" w:rsidP="001C5D65">
      <w:pPr>
        <w:pStyle w:val="ListParagraph"/>
        <w:numPr>
          <w:ilvl w:val="0"/>
          <w:numId w:val="10"/>
        </w:numPr>
      </w:pPr>
      <w:r>
        <w:lastRenderedPageBreak/>
        <w:t xml:space="preserve">Large number of litter datasets </w:t>
      </w:r>
      <w:proofErr w:type="gramStart"/>
      <w:r>
        <w:t>shows</w:t>
      </w:r>
      <w:proofErr w:type="gramEnd"/>
      <w:r>
        <w:t xml:space="preserve"> NSE &gt;0, RMSE close to zero-&gt; robust model. But then there are datasets where </w:t>
      </w:r>
      <w:proofErr w:type="gramStart"/>
      <w:r>
        <w:t>model is</w:t>
      </w:r>
      <w:proofErr w:type="gramEnd"/>
      <w:r>
        <w:t xml:space="preserve"> performing very poorly- &gt; might be associated with data </w:t>
      </w:r>
      <w:proofErr w:type="gramStart"/>
      <w:r>
        <w:t>issue</w:t>
      </w:r>
      <w:proofErr w:type="gramEnd"/>
      <w:r>
        <w:t xml:space="preserve"> rather than model robustness. </w:t>
      </w:r>
    </w:p>
    <w:p w14:paraId="4E6212E5" w14:textId="77777777" w:rsidR="001C5D65" w:rsidRDefault="001C5D65" w:rsidP="001C5D65">
      <w:pPr>
        <w:pStyle w:val="ListParagraph"/>
        <w:numPr>
          <w:ilvl w:val="0"/>
          <w:numId w:val="10"/>
        </w:numPr>
      </w:pPr>
      <w:r>
        <w:t xml:space="preserve">Model performed similarly under both N limitation strategies -&gt; even this detailed chemistry is not sufficient to understand which N </w:t>
      </w:r>
      <w:proofErr w:type="spellStart"/>
      <w:r>
        <w:t>strat</w:t>
      </w:r>
      <w:proofErr w:type="spellEnd"/>
      <w:r>
        <w:t xml:space="preserve"> is active under which condition -&gt; link to Manzoni 2021 frontier. </w:t>
      </w:r>
    </w:p>
    <w:p w14:paraId="237BB1E3" w14:textId="77777777" w:rsidR="001C5D65" w:rsidRDefault="001C5D65" w:rsidP="001C5D65">
      <w:pPr>
        <w:pStyle w:val="NormalWeb"/>
        <w:keepNext/>
        <w:rPr>
          <w:rFonts w:asciiTheme="minorHAnsi" w:eastAsiaTheme="minorHAnsi" w:hAnsiTheme="minorHAnsi" w:cstheme="minorBidi"/>
          <w:noProof/>
          <w:sz w:val="22"/>
          <w:szCs w:val="22"/>
        </w:rPr>
      </w:pPr>
      <w:r w:rsidRPr="00520316">
        <w:rPr>
          <w:rFonts w:asciiTheme="minorHAnsi" w:eastAsiaTheme="minorHAnsi" w:hAnsiTheme="minorHAnsi" w:cstheme="minorBidi"/>
          <w:noProof/>
          <w:sz w:val="22"/>
          <w:szCs w:val="22"/>
        </w:rPr>
        <w:t xml:space="preserve"> </w:t>
      </w:r>
    </w:p>
    <w:p w14:paraId="4FC22F12" w14:textId="77777777" w:rsidR="005757B9" w:rsidRPr="004E109A" w:rsidRDefault="005757B9" w:rsidP="004E109A"/>
    <w:sectPr w:rsidR="005757B9" w:rsidRPr="004E1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2D40"/>
    <w:multiLevelType w:val="hybridMultilevel"/>
    <w:tmpl w:val="63F8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61590"/>
    <w:multiLevelType w:val="hybridMultilevel"/>
    <w:tmpl w:val="EFE4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C21"/>
    <w:multiLevelType w:val="multilevel"/>
    <w:tmpl w:val="CE56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A4BFE"/>
    <w:multiLevelType w:val="hybridMultilevel"/>
    <w:tmpl w:val="311E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36F49"/>
    <w:multiLevelType w:val="multilevel"/>
    <w:tmpl w:val="3572E5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57E679F"/>
    <w:multiLevelType w:val="hybridMultilevel"/>
    <w:tmpl w:val="27E0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34FF3"/>
    <w:multiLevelType w:val="hybridMultilevel"/>
    <w:tmpl w:val="B1EAD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95FFD"/>
    <w:multiLevelType w:val="multilevel"/>
    <w:tmpl w:val="8B7EF44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360"/>
        </w:tabs>
        <w:ind w:left="360" w:hanging="360"/>
      </w:pPr>
      <w:rPr>
        <w:rFonts w:ascii="Wingdings" w:hAnsi="Wingdings" w:hint="default"/>
        <w:sz w:val="20"/>
      </w:rPr>
    </w:lvl>
    <w:lvl w:ilvl="4" w:tentative="1">
      <w:start w:val="1"/>
      <w:numFmt w:val="bullet"/>
      <w:lvlText w:val=""/>
      <w:lvlJc w:val="left"/>
      <w:pPr>
        <w:tabs>
          <w:tab w:val="num" w:pos="1080"/>
        </w:tabs>
        <w:ind w:left="1080" w:hanging="360"/>
      </w:pPr>
      <w:rPr>
        <w:rFonts w:ascii="Wingdings" w:hAnsi="Wingdings" w:hint="default"/>
        <w:sz w:val="20"/>
      </w:rPr>
    </w:lvl>
    <w:lvl w:ilvl="5" w:tentative="1">
      <w:start w:val="1"/>
      <w:numFmt w:val="bullet"/>
      <w:lvlText w:val=""/>
      <w:lvlJc w:val="left"/>
      <w:pPr>
        <w:tabs>
          <w:tab w:val="num" w:pos="1800"/>
        </w:tabs>
        <w:ind w:left="1800" w:hanging="360"/>
      </w:pPr>
      <w:rPr>
        <w:rFonts w:ascii="Wingdings" w:hAnsi="Wingdings" w:hint="default"/>
        <w:sz w:val="20"/>
      </w:rPr>
    </w:lvl>
    <w:lvl w:ilvl="6" w:tentative="1">
      <w:start w:val="1"/>
      <w:numFmt w:val="bullet"/>
      <w:lvlText w:val=""/>
      <w:lvlJc w:val="left"/>
      <w:pPr>
        <w:tabs>
          <w:tab w:val="num" w:pos="2520"/>
        </w:tabs>
        <w:ind w:left="2520" w:hanging="360"/>
      </w:pPr>
      <w:rPr>
        <w:rFonts w:ascii="Wingdings" w:hAnsi="Wingdings" w:hint="default"/>
        <w:sz w:val="20"/>
      </w:rPr>
    </w:lvl>
    <w:lvl w:ilvl="7" w:tentative="1">
      <w:start w:val="1"/>
      <w:numFmt w:val="bullet"/>
      <w:lvlText w:val=""/>
      <w:lvlJc w:val="left"/>
      <w:pPr>
        <w:tabs>
          <w:tab w:val="num" w:pos="3240"/>
        </w:tabs>
        <w:ind w:left="3240" w:hanging="360"/>
      </w:pPr>
      <w:rPr>
        <w:rFonts w:ascii="Wingdings" w:hAnsi="Wingdings" w:hint="default"/>
        <w:sz w:val="20"/>
      </w:rPr>
    </w:lvl>
    <w:lvl w:ilvl="8" w:tentative="1">
      <w:start w:val="1"/>
      <w:numFmt w:val="bullet"/>
      <w:lvlText w:val=""/>
      <w:lvlJc w:val="left"/>
      <w:pPr>
        <w:tabs>
          <w:tab w:val="num" w:pos="3960"/>
        </w:tabs>
        <w:ind w:left="3960" w:hanging="360"/>
      </w:pPr>
      <w:rPr>
        <w:rFonts w:ascii="Wingdings" w:hAnsi="Wingdings" w:hint="default"/>
        <w:sz w:val="20"/>
      </w:rPr>
    </w:lvl>
  </w:abstractNum>
  <w:abstractNum w:abstractNumId="8" w15:restartNumberingAfterBreak="0">
    <w:nsid w:val="5A5A6EF2"/>
    <w:multiLevelType w:val="hybridMultilevel"/>
    <w:tmpl w:val="0728E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5078D"/>
    <w:multiLevelType w:val="hybridMultilevel"/>
    <w:tmpl w:val="DF9C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95E11"/>
    <w:multiLevelType w:val="hybridMultilevel"/>
    <w:tmpl w:val="0ADE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B96CD2"/>
    <w:multiLevelType w:val="hybridMultilevel"/>
    <w:tmpl w:val="F3A0C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62E5B"/>
    <w:multiLevelType w:val="multilevel"/>
    <w:tmpl w:val="3FA4FA7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864"/>
        </w:tabs>
        <w:ind w:left="432" w:hanging="432"/>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16cid:durableId="52892274">
    <w:abstractNumId w:val="7"/>
  </w:num>
  <w:num w:numId="2" w16cid:durableId="596134500">
    <w:abstractNumId w:val="5"/>
  </w:num>
  <w:num w:numId="3" w16cid:durableId="898633425">
    <w:abstractNumId w:val="4"/>
  </w:num>
  <w:num w:numId="4" w16cid:durableId="2102407450">
    <w:abstractNumId w:val="2"/>
  </w:num>
  <w:num w:numId="5" w16cid:durableId="1092163478">
    <w:abstractNumId w:val="12"/>
  </w:num>
  <w:num w:numId="6" w16cid:durableId="293877395">
    <w:abstractNumId w:val="8"/>
  </w:num>
  <w:num w:numId="7" w16cid:durableId="1283343394">
    <w:abstractNumId w:val="1"/>
  </w:num>
  <w:num w:numId="8" w16cid:durableId="1408117522">
    <w:abstractNumId w:val="0"/>
  </w:num>
  <w:num w:numId="9" w16cid:durableId="905215807">
    <w:abstractNumId w:val="10"/>
  </w:num>
  <w:num w:numId="10" w16cid:durableId="887642800">
    <w:abstractNumId w:val="9"/>
  </w:num>
  <w:num w:numId="11" w16cid:durableId="1766919653">
    <w:abstractNumId w:val="6"/>
  </w:num>
  <w:num w:numId="12" w16cid:durableId="2051029686">
    <w:abstractNumId w:val="3"/>
  </w:num>
  <w:num w:numId="13" w16cid:durableId="13990859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W0MDIxNDM0MbIwMzZS0lEKTi0uzszPAykwqgUAazXK1iwAAAA="/>
  </w:docVars>
  <w:rsids>
    <w:rsidRoot w:val="00934BA9"/>
    <w:rsid w:val="00172B3F"/>
    <w:rsid w:val="001C5D65"/>
    <w:rsid w:val="001E51B5"/>
    <w:rsid w:val="002A08F7"/>
    <w:rsid w:val="00334D80"/>
    <w:rsid w:val="004E109A"/>
    <w:rsid w:val="005757B9"/>
    <w:rsid w:val="00614B6A"/>
    <w:rsid w:val="007D3782"/>
    <w:rsid w:val="008702B9"/>
    <w:rsid w:val="008A70A9"/>
    <w:rsid w:val="00934BA9"/>
    <w:rsid w:val="0099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2842"/>
  <w15:chartTrackingRefBased/>
  <w15:docId w15:val="{4543035E-99B7-451C-A1A5-01B87BCF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9A"/>
    <w:rPr>
      <w:kern w:val="0"/>
      <w14:ligatures w14:val="none"/>
    </w:rPr>
  </w:style>
  <w:style w:type="paragraph" w:styleId="Heading1">
    <w:name w:val="heading 1"/>
    <w:basedOn w:val="Normal"/>
    <w:next w:val="Normal"/>
    <w:link w:val="Heading1Char"/>
    <w:uiPriority w:val="9"/>
    <w:qFormat/>
    <w:rsid w:val="001C5D65"/>
    <w:pPr>
      <w:keepNext/>
      <w:keepLines/>
      <w:numPr>
        <w:numId w:val="5"/>
      </w:numPr>
      <w:spacing w:before="240" w:after="0" w:line="360" w:lineRule="auto"/>
      <w:outlineLvl w:val="0"/>
    </w:pPr>
    <w:rPr>
      <w:rFonts w:ascii="Times New Roman" w:eastAsiaTheme="majorEastAsia" w:hAnsi="Times New Roman" w:cs="Times New Roman"/>
      <w:b/>
      <w:bCs/>
      <w:sz w:val="24"/>
      <w:szCs w:val="24"/>
    </w:rPr>
  </w:style>
  <w:style w:type="paragraph" w:styleId="Heading2">
    <w:name w:val="heading 2"/>
    <w:basedOn w:val="Heading1"/>
    <w:next w:val="Normal"/>
    <w:link w:val="Heading2Char"/>
    <w:uiPriority w:val="9"/>
    <w:unhideWhenUsed/>
    <w:qFormat/>
    <w:rsid w:val="001C5D65"/>
    <w:pPr>
      <w:numPr>
        <w:ilvl w:val="1"/>
      </w:numPr>
      <w:outlineLvl w:val="1"/>
    </w:pPr>
  </w:style>
  <w:style w:type="paragraph" w:styleId="Heading3">
    <w:name w:val="heading 3"/>
    <w:basedOn w:val="Heading2"/>
    <w:next w:val="Normal"/>
    <w:link w:val="Heading3Char"/>
    <w:uiPriority w:val="9"/>
    <w:unhideWhenUsed/>
    <w:qFormat/>
    <w:rsid w:val="001C5D65"/>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f1">
    <w:name w:val="pf1"/>
    <w:basedOn w:val="Normal"/>
    <w:rsid w:val="00995D8B"/>
    <w:pPr>
      <w:spacing w:before="100" w:beforeAutospacing="1" w:after="100" w:afterAutospacing="1" w:line="240" w:lineRule="auto"/>
      <w:ind w:left="720"/>
    </w:pPr>
    <w:rPr>
      <w:rFonts w:ascii="Times New Roman" w:eastAsia="Times New Roman" w:hAnsi="Times New Roman" w:cs="Times New Roman"/>
      <w:sz w:val="24"/>
      <w:szCs w:val="24"/>
    </w:rPr>
  </w:style>
  <w:style w:type="paragraph" w:customStyle="1" w:styleId="pf0">
    <w:name w:val="pf0"/>
    <w:basedOn w:val="Normal"/>
    <w:rsid w:val="00995D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995D8B"/>
    <w:rPr>
      <w:rFonts w:ascii="Segoe UI" w:hAnsi="Segoe UI" w:cs="Segoe UI" w:hint="default"/>
      <w:b/>
      <w:bCs/>
      <w:sz w:val="18"/>
      <w:szCs w:val="18"/>
    </w:rPr>
  </w:style>
  <w:style w:type="character" w:customStyle="1" w:styleId="cf11">
    <w:name w:val="cf11"/>
    <w:basedOn w:val="DefaultParagraphFont"/>
    <w:rsid w:val="00995D8B"/>
    <w:rPr>
      <w:rFonts w:ascii="Segoe UI" w:hAnsi="Segoe UI" w:cs="Segoe UI" w:hint="default"/>
      <w:sz w:val="18"/>
      <w:szCs w:val="18"/>
    </w:rPr>
  </w:style>
  <w:style w:type="paragraph" w:styleId="ListParagraph">
    <w:name w:val="List Paragraph"/>
    <w:basedOn w:val="Normal"/>
    <w:uiPriority w:val="34"/>
    <w:qFormat/>
    <w:rsid w:val="008A70A9"/>
    <w:pPr>
      <w:ind w:left="720"/>
      <w:contextualSpacing/>
    </w:pPr>
  </w:style>
  <w:style w:type="character" w:customStyle="1" w:styleId="Heading1Char">
    <w:name w:val="Heading 1 Char"/>
    <w:basedOn w:val="DefaultParagraphFont"/>
    <w:link w:val="Heading1"/>
    <w:uiPriority w:val="9"/>
    <w:rsid w:val="001C5D65"/>
    <w:rPr>
      <w:rFonts w:ascii="Times New Roman" w:eastAsiaTheme="majorEastAsia" w:hAnsi="Times New Roman" w:cs="Times New Roman"/>
      <w:b/>
      <w:bCs/>
      <w:kern w:val="0"/>
      <w:sz w:val="24"/>
      <w:szCs w:val="24"/>
      <w14:ligatures w14:val="none"/>
    </w:rPr>
  </w:style>
  <w:style w:type="character" w:customStyle="1" w:styleId="Heading2Char">
    <w:name w:val="Heading 2 Char"/>
    <w:basedOn w:val="DefaultParagraphFont"/>
    <w:link w:val="Heading2"/>
    <w:uiPriority w:val="9"/>
    <w:rsid w:val="001C5D65"/>
    <w:rPr>
      <w:rFonts w:ascii="Times New Roman" w:eastAsiaTheme="majorEastAsia"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1C5D65"/>
    <w:rPr>
      <w:rFonts w:ascii="Times New Roman" w:eastAsiaTheme="majorEastAsia" w:hAnsi="Times New Roman" w:cs="Times New Roman"/>
      <w:b/>
      <w:bCs/>
      <w:kern w:val="0"/>
      <w:sz w:val="24"/>
      <w:szCs w:val="24"/>
      <w14:ligatures w14:val="none"/>
    </w:rPr>
  </w:style>
  <w:style w:type="paragraph" w:styleId="NormalWeb">
    <w:name w:val="Normal (Web)"/>
    <w:basedOn w:val="Normal"/>
    <w:uiPriority w:val="99"/>
    <w:semiHidden/>
    <w:unhideWhenUsed/>
    <w:rsid w:val="001C5D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1C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613821">
      <w:bodyDiv w:val="1"/>
      <w:marLeft w:val="0"/>
      <w:marRight w:val="0"/>
      <w:marTop w:val="0"/>
      <w:marBottom w:val="0"/>
      <w:divBdr>
        <w:top w:val="none" w:sz="0" w:space="0" w:color="auto"/>
        <w:left w:val="none" w:sz="0" w:space="0" w:color="auto"/>
        <w:bottom w:val="none" w:sz="0" w:space="0" w:color="auto"/>
        <w:right w:val="none" w:sz="0" w:space="0" w:color="auto"/>
      </w:divBdr>
    </w:div>
    <w:div w:id="608779530">
      <w:bodyDiv w:val="1"/>
      <w:marLeft w:val="0"/>
      <w:marRight w:val="0"/>
      <w:marTop w:val="0"/>
      <w:marBottom w:val="0"/>
      <w:divBdr>
        <w:top w:val="none" w:sz="0" w:space="0" w:color="auto"/>
        <w:left w:val="none" w:sz="0" w:space="0" w:color="auto"/>
        <w:bottom w:val="none" w:sz="0" w:space="0" w:color="auto"/>
        <w:right w:val="none" w:sz="0" w:space="0" w:color="auto"/>
      </w:divBdr>
    </w:div>
    <w:div w:id="151002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2946</Words>
  <Characters>16797</Characters>
  <Application>Microsoft Office Word</Application>
  <DocSecurity>0</DocSecurity>
  <Lines>139</Lines>
  <Paragraphs>39</Paragraphs>
  <ScaleCrop>false</ScaleCrop>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Chakrawal, Arjun</dc:creator>
  <cp:keywords/>
  <dc:description/>
  <cp:lastModifiedBy>Chakrawal, Arjun</cp:lastModifiedBy>
  <cp:revision>8</cp:revision>
  <dcterms:created xsi:type="dcterms:W3CDTF">2024-03-27T03:06:00Z</dcterms:created>
  <dcterms:modified xsi:type="dcterms:W3CDTF">2025-05-25T19:48:00Z</dcterms:modified>
</cp:coreProperties>
</file>