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b/>
          <w:color w:val="1F4E78"/>
          <w:sz w:val="32"/>
        </w:rPr>
        <w:t>OPERATIONS PERFORMANCE REPORT</w:t>
      </w:r>
    </w:p>
    <w:p>
      <w:pPr>
        <w:pStyle w:val="Normal"/>
        <w:spacing w:before="0" w:after="0"/>
        <w:jc w:val="center"/>
        <w:rPr/>
      </w:pPr>
      <w:r>
        <w:rPr>
          <w:sz w:val="20"/>
        </w:rPr>
        <w:t>Annual Summary &amp; Analysis  |  Fiscal Year 2025</w:t>
      </w:r>
    </w:p>
    <w:p>
      <w:pPr>
        <w:pStyle w:val="Normal"/>
        <w:spacing w:before="0" w:after="240"/>
        <w:jc w:val="center"/>
        <w:rPr/>
      </w:pPr>
      <w:r>
        <w:rPr>
          <w:sz w:val="18"/>
        </w:rPr>
        <w:t>Prepared by: [Operations Coordinator]  |  Muscat, Oman  |  [Date]</w:t>
      </w:r>
    </w:p>
    <w:tbl>
      <w:tblPr>
        <w:tblStyle w:val="LightGrid-Accent1"/>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color w:val="1F4E78"/>
                <w:kern w:val="0"/>
                <w:sz w:val="26"/>
                <w:szCs w:val="22"/>
                <w:lang w:val="en-US" w:eastAsia="en-US" w:bidi="ar-SA"/>
              </w:rPr>
              <w:t>$1.94M</w:t>
              <w:br/>
              <w:t>Total PO Value</w:t>
            </w:r>
          </w:p>
        </w:tc>
        <w:tc>
          <w:tcPr>
            <w:tcW w:w="216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color w:val="1F4E78"/>
                <w:kern w:val="0"/>
                <w:sz w:val="26"/>
                <w:szCs w:val="22"/>
                <w:lang w:val="en-US" w:eastAsia="en-US" w:bidi="ar-SA"/>
              </w:rPr>
              <w:t>98.3%</w:t>
              <w:br/>
              <w:t>On-Time Delivery</w:t>
            </w:r>
          </w:p>
        </w:tc>
        <w:tc>
          <w:tcPr>
            <w:tcW w:w="216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color w:val="1F4E78"/>
                <w:kern w:val="0"/>
                <w:sz w:val="26"/>
                <w:szCs w:val="22"/>
                <w:lang w:val="en-US" w:eastAsia="en-US" w:bidi="ar-SA"/>
              </w:rPr>
              <w:t>247</w:t>
              <w:br/>
              <w:t>POs Processed</w:t>
            </w:r>
          </w:p>
        </w:tc>
        <w:tc>
          <w:tcPr>
            <w:tcW w:w="216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color w:val="1F4E78"/>
                <w:kern w:val="0"/>
                <w:sz w:val="26"/>
                <w:szCs w:val="22"/>
                <w:lang w:val="en-US" w:eastAsia="en-US" w:bidi="ar-SA"/>
              </w:rPr>
              <w:t>0</w:t>
              <w:br/>
              <w:t>Safety Incidents</w:t>
            </w:r>
          </w:p>
        </w:tc>
      </w:tr>
    </w:tbl>
    <w:p>
      <w:pPr>
        <w:pStyle w:val="Normal"/>
        <w:rPr/>
      </w:pPr>
      <w:r>
        <w:rPr/>
      </w:r>
    </w:p>
    <w:p>
      <w:pPr>
        <w:pStyle w:val="Normal"/>
        <w:rPr/>
      </w:pPr>
      <w:r>
        <w:rPr>
          <w:b/>
          <w:color w:val="1F4E78"/>
          <w:sz w:val="26"/>
        </w:rPr>
        <w:t>1. Executive Summary</w:t>
      </w:r>
    </w:p>
    <w:p>
      <w:pPr>
        <w:pStyle w:val="Normal"/>
        <w:rPr/>
      </w:pPr>
      <w:r>
        <w:rPr/>
        <w:t>This report presents the FY 2025 operational performance for the Muscat regional operations. The year was characterized by strong procurement execution, a zero-incident safety record, and the successful implementation of an enhanced equipment certification tracking system. Total procurement value reached $1.94M across 247 purchase orders, with an on-time delivery rate of 98.3% — exceeding the 95% annual target.</w:t>
      </w:r>
    </w:p>
    <w:p>
      <w:pPr>
        <w:pStyle w:val="Normal"/>
        <w:rPr/>
      </w:pPr>
      <w:r>
        <w:rPr/>
        <w:t>Key highlights for FY 2025 include the full transition to SAP ERP for all procurement and logistics workflows, successful base facility maintenance program, and zero workplace safety incidents. These results reflect the team's commitment to operational discipline, continuous process improvement, and rigorous safety compliance.</w:t>
      </w:r>
    </w:p>
    <w:p>
      <w:pPr>
        <w:pStyle w:val="Normal"/>
        <w:rPr/>
      </w:pPr>
      <w:r>
        <w:rPr/>
      </w:r>
    </w:p>
    <w:p>
      <w:pPr>
        <w:pStyle w:val="Normal"/>
        <w:rPr/>
      </w:pPr>
      <w:r>
        <w:rPr>
          <w:b/>
          <w:color w:val="1F4E78"/>
          <w:sz w:val="26"/>
        </w:rPr>
        <w:t>2. Procurement Performance</w:t>
      </w:r>
    </w:p>
    <w:p>
      <w:pPr>
        <w:pStyle w:val="Normal"/>
        <w:rPr/>
      </w:pPr>
      <w:r>
        <w:rPr>
          <w:b/>
          <w:sz w:val="22"/>
        </w:rPr>
        <w:t>2.1  Purchase Order Summary by Quarter</w:t>
      </w:r>
    </w:p>
    <w:tbl>
      <w:tblPr>
        <w:tblStyle w:val="LightGrid-Accent1"/>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30"/>
        <w:gridCol w:w="1350"/>
        <w:gridCol w:w="1710"/>
        <w:gridCol w:w="1422"/>
        <w:gridCol w:w="1728"/>
      </w:tblGrid>
      <w:tr>
        <w:trPr/>
        <w:tc>
          <w:tcPr>
            <w:tcW w:w="243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Category</w:t>
            </w:r>
          </w:p>
        </w:tc>
        <w:tc>
          <w:tcPr>
            <w:tcW w:w="135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Q1</w:t>
            </w:r>
          </w:p>
        </w:tc>
        <w:tc>
          <w:tcPr>
            <w:tcW w:w="171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Q2</w:t>
            </w:r>
          </w:p>
        </w:tc>
        <w:tc>
          <w:tcPr>
            <w:tcW w:w="142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Q3</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FY Total</w:t>
            </w:r>
          </w:p>
        </w:tc>
      </w:tr>
      <w:tr>
        <w:trPr/>
        <w:tc>
          <w:tcPr>
            <w:tcW w:w="243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Safety &amp; PPE</w:t>
            </w:r>
          </w:p>
        </w:tc>
        <w:tc>
          <w:tcPr>
            <w:tcW w:w="135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$89,400</w:t>
            </w:r>
          </w:p>
        </w:tc>
        <w:tc>
          <w:tcPr>
            <w:tcW w:w="171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$76,200</w:t>
            </w:r>
          </w:p>
        </w:tc>
        <w:tc>
          <w:tcPr>
            <w:tcW w:w="142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$82,100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$339,000</w:t>
            </w:r>
          </w:p>
        </w:tc>
      </w:tr>
      <w:tr>
        <w:trPr/>
        <w:tc>
          <w:tcPr>
            <w:tcW w:w="243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Spare Parts &amp; Maintenance</w:t>
            </w:r>
          </w:p>
        </w:tc>
        <w:tc>
          <w:tcPr>
            <w:tcW w:w="135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$198,500</w:t>
            </w:r>
          </w:p>
        </w:tc>
        <w:tc>
          <w:tcPr>
            <w:tcW w:w="171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$221,000</w:t>
            </w:r>
          </w:p>
        </w:tc>
        <w:tc>
          <w:tcPr>
            <w:tcW w:w="142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$187,300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$849,900</w:t>
            </w:r>
          </w:p>
        </w:tc>
      </w:tr>
      <w:tr>
        <w:trPr/>
        <w:tc>
          <w:tcPr>
            <w:tcW w:w="243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Lab &amp; Calibration Supplies</w:t>
            </w:r>
          </w:p>
        </w:tc>
        <w:tc>
          <w:tcPr>
            <w:tcW w:w="135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$42,100</w:t>
            </w:r>
          </w:p>
        </w:tc>
        <w:tc>
          <w:tcPr>
            <w:tcW w:w="171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$38,600</w:t>
            </w:r>
          </w:p>
        </w:tc>
        <w:tc>
          <w:tcPr>
            <w:tcW w:w="142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$44,200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$164,700</w:t>
            </w:r>
          </w:p>
        </w:tc>
      </w:tr>
      <w:tr>
        <w:trPr/>
        <w:tc>
          <w:tcPr>
            <w:tcW w:w="243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Facility &amp; Infrastructure</w:t>
            </w:r>
          </w:p>
        </w:tc>
        <w:tc>
          <w:tcPr>
            <w:tcW w:w="135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$95,200</w:t>
            </w:r>
          </w:p>
        </w:tc>
        <w:tc>
          <w:tcPr>
            <w:tcW w:w="171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$31,400</w:t>
            </w:r>
          </w:p>
        </w:tc>
        <w:tc>
          <w:tcPr>
            <w:tcW w:w="142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$187,600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$358,300</w:t>
            </w:r>
          </w:p>
        </w:tc>
      </w:tr>
      <w:tr>
        <w:trPr/>
        <w:tc>
          <w:tcPr>
            <w:tcW w:w="243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Logistics &amp; Transport</w:t>
            </w:r>
          </w:p>
        </w:tc>
        <w:tc>
          <w:tcPr>
            <w:tcW w:w="135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$51,300</w:t>
            </w:r>
          </w:p>
        </w:tc>
        <w:tc>
          <w:tcPr>
            <w:tcW w:w="171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$48,700</w:t>
            </w:r>
          </w:p>
        </w:tc>
        <w:tc>
          <w:tcPr>
            <w:tcW w:w="142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$53,200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$227,300</w:t>
            </w:r>
          </w:p>
        </w:tc>
      </w:tr>
      <w:tr>
        <w:trPr/>
        <w:tc>
          <w:tcPr>
            <w:tcW w:w="243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TOTAL</w:t>
            </w:r>
          </w:p>
        </w:tc>
        <w:tc>
          <w:tcPr>
            <w:tcW w:w="135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$476,500</w:t>
            </w:r>
          </w:p>
        </w:tc>
        <w:tc>
          <w:tcPr>
            <w:tcW w:w="171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$415,900</w:t>
            </w:r>
          </w:p>
        </w:tc>
        <w:tc>
          <w:tcPr>
            <w:tcW w:w="142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$554,400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$1,939,200</w:t>
            </w:r>
          </w:p>
        </w:tc>
      </w:tr>
    </w:tbl>
    <w:p>
      <w:pPr>
        <w:pStyle w:val="Normal"/>
        <w:rPr/>
      </w:pPr>
      <w:r>
        <w:rPr/>
      </w:r>
    </w:p>
    <w:p>
      <w:pPr>
        <w:pStyle w:val="Normal"/>
        <w:rPr/>
      </w:pPr>
      <w:r>
        <w:rPr/>
        <w:t>Spare parts and maintenance represented the largest procurement category at 43.8% of total spend, consistent with the operational nature of the regional hub. The Q3 facility spend reflects planned infrastructure maintenance and equipment upgrades completed on schedule.</w:t>
      </w:r>
    </w:p>
    <w:p>
      <w:pPr>
        <w:pStyle w:val="Normal"/>
        <w:rPr/>
      </w:pPr>
      <w:r>
        <w:rPr/>
      </w:r>
    </w:p>
    <w:p>
      <w:pPr>
        <w:pStyle w:val="Normal"/>
        <w:rPr/>
      </w:pPr>
      <w:r>
        <w:rPr>
          <w:b/>
          <w:sz w:val="22"/>
        </w:rPr>
        <w:t>2.2  Vendor Performance Summary</w:t>
      </w:r>
    </w:p>
    <w:tbl>
      <w:tblPr>
        <w:tblStyle w:val="LightGrid-Accent1"/>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728"/>
        <w:gridCol w:w="1872"/>
        <w:gridCol w:w="1584"/>
        <w:gridCol w:w="1728"/>
        <w:gridCol w:w="1728"/>
      </w:tblGrid>
      <w:tr>
        <w:trPr/>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Vendor Name</w:t>
            </w:r>
          </w:p>
        </w:tc>
        <w:tc>
          <w:tcPr>
            <w:tcW w:w="187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Category</w:t>
            </w:r>
          </w:p>
        </w:tc>
        <w:tc>
          <w:tcPr>
            <w:tcW w:w="158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POs FY2025</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On-Time Rate</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Rating</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Al Zahra Safety Solutions</w:t>
            </w:r>
          </w:p>
        </w:tc>
        <w:tc>
          <w:tcPr>
            <w:tcW w:w="187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Safety &amp; PPE</w:t>
            </w:r>
          </w:p>
        </w:tc>
        <w:tc>
          <w:tcPr>
            <w:tcW w:w="1584"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38</w:t>
            </w:r>
          </w:p>
        </w:tc>
        <w:tc>
          <w:tcPr>
            <w:tcW w:w="1728"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97.4%</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Gulf Industrial Supplies LLC</w:t>
            </w:r>
          </w:p>
        </w:tc>
        <w:tc>
          <w:tcPr>
            <w:tcW w:w="18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Spare Parts</w:t>
            </w:r>
          </w:p>
        </w:tc>
        <w:tc>
          <w:tcPr>
            <w:tcW w:w="1584"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51</w:t>
            </w:r>
          </w:p>
        </w:tc>
        <w:tc>
          <w:tcPr>
            <w:tcW w:w="172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98.0%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Oman Calibration &amp; Testing</w:t>
            </w:r>
          </w:p>
        </w:tc>
        <w:tc>
          <w:tcPr>
            <w:tcW w:w="187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Lab &amp; Calibration</w:t>
            </w:r>
          </w:p>
        </w:tc>
        <w:tc>
          <w:tcPr>
            <w:tcW w:w="1584"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24</w:t>
            </w:r>
          </w:p>
        </w:tc>
        <w:tc>
          <w:tcPr>
            <w:tcW w:w="1728"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Muscat Equipment Trading Co.</w:t>
            </w:r>
          </w:p>
        </w:tc>
        <w:tc>
          <w:tcPr>
            <w:tcW w:w="18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Spare Parts</w:t>
            </w:r>
          </w:p>
        </w:tc>
        <w:tc>
          <w:tcPr>
            <w:tcW w:w="1584"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43</w:t>
            </w:r>
          </w:p>
        </w:tc>
        <w:tc>
          <w:tcPr>
            <w:tcW w:w="172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96.5%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Arabian Environmental Services</w:t>
            </w:r>
          </w:p>
        </w:tc>
        <w:tc>
          <w:tcPr>
            <w:tcW w:w="187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Compliance</w:t>
            </w:r>
          </w:p>
        </w:tc>
        <w:tc>
          <w:tcPr>
            <w:tcW w:w="1584"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18</w:t>
            </w:r>
          </w:p>
        </w:tc>
        <w:tc>
          <w:tcPr>
            <w:tcW w:w="1728"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Gulf Logistics &amp; Distribution</w:t>
            </w:r>
          </w:p>
        </w:tc>
        <w:tc>
          <w:tcPr>
            <w:tcW w:w="18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Facility &amp; Transport</w:t>
            </w:r>
          </w:p>
        </w:tc>
        <w:tc>
          <w:tcPr>
            <w:tcW w:w="1584"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29</w:t>
            </w:r>
          </w:p>
        </w:tc>
        <w:tc>
          <w:tcPr>
            <w:tcW w:w="172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94.8%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bl>
    <w:p>
      <w:pPr>
        <w:pStyle w:val="Normal"/>
        <w:rPr/>
      </w:pPr>
      <w:r>
        <w:rPr/>
      </w:r>
    </w:p>
    <w:p>
      <w:pPr>
        <w:pStyle w:val="Normal"/>
        <w:rPr/>
      </w:pPr>
      <w:r>
        <w:rPr>
          <w:b/>
          <w:color w:val="1F4E78"/>
          <w:sz w:val="26"/>
        </w:rPr>
        <w:t>3. Safety &amp; Compliance</w:t>
      </w:r>
    </w:p>
    <w:p>
      <w:pPr>
        <w:pStyle w:val="Normal"/>
        <w:rPr/>
      </w:pPr>
      <w:r>
        <w:rPr/>
        <w:t>FY 2025 marked a zero lost-time incident year across all operations. This outcome reflects the team's rigorous adherence to safety protocols, consistent PPE compliance, and proactive equipment certification management.</w:t>
      </w:r>
    </w:p>
    <w:tbl>
      <w:tblPr>
        <w:tblStyle w:val="LightGrid-Accent1"/>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Safety KPI</w:t>
            </w:r>
          </w:p>
        </w:tc>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w:t>
            </w:r>
          </w:p>
        </w:tc>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Actual</w:t>
            </w:r>
          </w:p>
        </w:tc>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Status</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Lost-Time Incidents</w:t>
            </w:r>
          </w:p>
        </w:tc>
        <w:tc>
          <w:tcPr>
            <w:tcW w:w="2160"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w:t>
            </w:r>
          </w:p>
        </w:tc>
        <w:tc>
          <w:tcPr>
            <w:tcW w:w="2160"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Achieved</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Near-Miss Reports Filed</w:t>
            </w:r>
          </w:p>
        </w:tc>
        <w:tc>
          <w:tcPr>
            <w:tcW w:w="21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All reported</w:t>
            </w:r>
          </w:p>
        </w:tc>
        <w:tc>
          <w:tcPr>
            <w:tcW w:w="21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12</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Achieved</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Equipment Certifications Current</w:t>
            </w:r>
          </w:p>
        </w:tc>
        <w:tc>
          <w:tcPr>
            <w:tcW w:w="2160"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w:t>
            </w:r>
          </w:p>
        </w:tc>
        <w:tc>
          <w:tcPr>
            <w:tcW w:w="2160"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Achieved</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PPE Compliance Rate (audited)</w:t>
            </w:r>
          </w:p>
        </w:tc>
        <w:tc>
          <w:tcPr>
            <w:tcW w:w="21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98%</w:t>
            </w:r>
          </w:p>
        </w:tc>
        <w:tc>
          <w:tcPr>
            <w:tcW w:w="21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99.2%</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Exceeded</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Journey Management Plans Filed</w:t>
            </w:r>
          </w:p>
        </w:tc>
        <w:tc>
          <w:tcPr>
            <w:tcW w:w="2160"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All movements</w:t>
            </w:r>
          </w:p>
        </w:tc>
        <w:tc>
          <w:tcPr>
            <w:tcW w:w="2160" w:type="dxa"/>
            <w:tcBorders/>
            <w:shd w:color="auto" w:fill="D3DFEE" w:themeFill="accent1" w:themeFillTint="3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214</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Achieved</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Safety Equipment Calibrations</w:t>
            </w:r>
          </w:p>
        </w:tc>
        <w:tc>
          <w:tcPr>
            <w:tcW w:w="21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w:t>
            </w:r>
          </w:p>
        </w:tc>
        <w:tc>
          <w:tcPr>
            <w:tcW w:w="21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Achieved</w:t>
            </w:r>
          </w:p>
        </w:tc>
      </w:tr>
    </w:tbl>
    <w:p>
      <w:pPr>
        <w:pStyle w:val="Normal"/>
        <w:rPr/>
      </w:pPr>
      <w:r>
        <w:rPr/>
      </w:r>
    </w:p>
    <w:p>
      <w:pPr>
        <w:pStyle w:val="Normal"/>
        <w:rPr/>
      </w:pPr>
      <w:r>
        <w:rPr>
          <w:b/>
          <w:color w:val="1F4E78"/>
          <w:sz w:val="26"/>
        </w:rPr>
        <w:t>4. Process Improvements &amp; Initiatives</w:t>
      </w:r>
    </w:p>
    <w:p>
      <w:pPr>
        <w:pStyle w:val="Normal"/>
        <w:rPr/>
      </w:pPr>
      <w:r>
        <w:rPr>
          <w:b/>
          <w:sz w:val="22"/>
        </w:rPr>
        <w:t>4.1  SAP ERP Implementation</w:t>
      </w:r>
    </w:p>
    <w:p>
      <w:pPr>
        <w:pStyle w:val="ListBullet"/>
        <w:numPr>
          <w:ilvl w:val="0"/>
          <w:numId w:val="1"/>
        </w:numPr>
        <w:rPr/>
      </w:pPr>
      <w:r>
        <w:rPr/>
        <w:t>Completed full transition to SAP ERP for all procurement and logistics workflows, covering PO creation, GRN management, vendor master data, and inventory tracking.</w:t>
      </w:r>
    </w:p>
    <w:p>
      <w:pPr>
        <w:pStyle w:val="ListBullet"/>
        <w:numPr>
          <w:ilvl w:val="0"/>
          <w:numId w:val="1"/>
        </w:numPr>
        <w:rPr/>
      </w:pPr>
      <w:r>
        <w:rPr/>
        <w:t>Reduced average PO processing time from 3.2 days to 1.1 days following system optimization and staff training.</w:t>
      </w:r>
    </w:p>
    <w:p>
      <w:pPr>
        <w:pStyle w:val="ListBullet"/>
        <w:numPr>
          <w:ilvl w:val="0"/>
          <w:numId w:val="1"/>
        </w:numPr>
        <w:rPr/>
      </w:pPr>
      <w:r>
        <w:rPr/>
        <w:t>All 247 FY 2025 POs processed through SAP with full audit trail compliance.</w:t>
      </w:r>
    </w:p>
    <w:p>
      <w:pPr>
        <w:pStyle w:val="Normal"/>
        <w:rPr/>
      </w:pPr>
      <w:r>
        <w:rPr>
          <w:b/>
          <w:sz w:val="22"/>
        </w:rPr>
        <w:t>4.2  Equipment Certification Tracker</w:t>
      </w:r>
    </w:p>
    <w:p>
      <w:pPr>
        <w:pStyle w:val="ListBullet"/>
        <w:numPr>
          <w:ilvl w:val="0"/>
          <w:numId w:val="1"/>
        </w:numPr>
        <w:rPr/>
      </w:pPr>
      <w:r>
        <w:rPr/>
        <w:t>Designed and implemented a dynamic certification tracker to monitor expiry dates, product numbers, batch numbers, and calibration schedules.</w:t>
      </w:r>
    </w:p>
    <w:p>
      <w:pPr>
        <w:pStyle w:val="ListBullet"/>
        <w:numPr>
          <w:ilvl w:val="0"/>
          <w:numId w:val="1"/>
        </w:numPr>
        <w:rPr/>
      </w:pPr>
      <w:r>
        <w:rPr/>
        <w:t>Automated status flagging (Valid / Due Soon / Expiring / Expired) eliminated manual review cycles.</w:t>
      </w:r>
    </w:p>
    <w:p>
      <w:pPr>
        <w:pStyle w:val="ListBullet"/>
        <w:numPr>
          <w:ilvl w:val="0"/>
          <w:numId w:val="1"/>
        </w:numPr>
        <w:rPr/>
      </w:pPr>
      <w:r>
        <w:rPr/>
        <w:t>Zero certification lapses recorded in FY 2025.</w:t>
      </w:r>
    </w:p>
    <w:p>
      <w:pPr>
        <w:pStyle w:val="Normal"/>
        <w:rPr/>
      </w:pPr>
      <w:r>
        <w:rPr>
          <w:b/>
          <w:sz w:val="22"/>
        </w:rPr>
        <w:t>4.3  Facility &amp; Infrastructure Program</w:t>
      </w:r>
    </w:p>
    <w:p>
      <w:pPr>
        <w:pStyle w:val="ListBullet"/>
        <w:numPr>
          <w:ilvl w:val="0"/>
          <w:numId w:val="1"/>
        </w:numPr>
        <w:rPr/>
      </w:pPr>
      <w:r>
        <w:rPr/>
        <w:t>Led the planning and execution of facility maintenance and equipment upgrades across operational areas.</w:t>
      </w:r>
    </w:p>
    <w:p>
      <w:pPr>
        <w:pStyle w:val="ListBullet"/>
        <w:numPr>
          <w:ilvl w:val="0"/>
          <w:numId w:val="1"/>
        </w:numPr>
        <w:rPr/>
      </w:pPr>
      <w:r>
        <w:rPr/>
        <w:t>Projects completed within budget variance and ahead of planned timeline.</w:t>
      </w:r>
    </w:p>
    <w:p>
      <w:pPr>
        <w:pStyle w:val="ListBullet"/>
        <w:numPr>
          <w:ilvl w:val="0"/>
          <w:numId w:val="1"/>
        </w:numPr>
        <w:rPr/>
      </w:pPr>
      <w:r>
        <w:rPr/>
        <w:t>Estimated 15-20% improvement in operational efficiency and HSE compliance.</w:t>
      </w:r>
    </w:p>
    <w:p>
      <w:pPr>
        <w:pStyle w:val="Normal"/>
        <w:rPr/>
      </w:pPr>
      <w:r>
        <w:rPr/>
      </w:r>
    </w:p>
    <w:p>
      <w:pPr>
        <w:pStyle w:val="Normal"/>
        <w:rPr/>
      </w:pPr>
      <w:r>
        <w:rPr>
          <w:b/>
          <w:color w:val="1F4E78"/>
          <w:sz w:val="26"/>
        </w:rPr>
        <w:t>5. Recommendations for FY 2026</w:t>
      </w:r>
    </w:p>
    <w:p>
      <w:pPr>
        <w:pStyle w:val="ListNumber"/>
        <w:numPr>
          <w:ilvl w:val="0"/>
          <w:numId w:val="4"/>
        </w:numPr>
        <w:rPr/>
      </w:pPr>
      <w:r>
        <w:rPr/>
        <w:t>Establish preferred vendor agreements with top 3 suppliers to reduce PO overhead and improve pricing.</w:t>
      </w:r>
    </w:p>
    <w:p>
      <w:pPr>
        <w:pStyle w:val="ListNumber"/>
        <w:numPr>
          <w:ilvl w:val="0"/>
          <w:numId w:val="4"/>
        </w:numPr>
        <w:rPr/>
      </w:pPr>
      <w:r>
        <w:rPr/>
        <w:t>Expand equipment tracking system to include contractor and personnel certifications.</w:t>
      </w:r>
    </w:p>
    <w:p>
      <w:pPr>
        <w:pStyle w:val="ListNumber"/>
        <w:numPr>
          <w:ilvl w:val="0"/>
          <w:numId w:val="4"/>
        </w:numPr>
        <w:rPr/>
      </w:pPr>
      <w:r>
        <w:rPr/>
        <w:t>Implement quarterly SAP ERP refresher training for all operations staff.</w:t>
      </w:r>
    </w:p>
    <w:p>
      <w:pPr>
        <w:pStyle w:val="ListNumber"/>
        <w:numPr>
          <w:ilvl w:val="0"/>
          <w:numId w:val="4"/>
        </w:numPr>
        <w:rPr/>
      </w:pPr>
      <w:r>
        <w:rPr/>
        <w:t>Develop dashboard reporting for real-time procurement and safety metrics visibility.</w:t>
      </w:r>
    </w:p>
    <w:p>
      <w:pPr>
        <w:pStyle w:val="ListNumber"/>
        <w:numPr>
          <w:ilvl w:val="0"/>
          <w:numId w:val="4"/>
        </w:numPr>
        <w:rPr/>
      </w:pPr>
      <w:r>
        <w:rPr/>
        <w:t>Schedule mid-year operations review to assess progress against FY 2026 targets.</w:t>
      </w:r>
    </w:p>
    <w:p>
      <w:pPr>
        <w:pStyle w:val="Normal"/>
        <w:rPr/>
      </w:pPr>
      <w:r>
        <w:rPr/>
      </w:r>
    </w:p>
    <w:p>
      <w:pPr>
        <w:pStyle w:val="Normal"/>
        <w:rPr/>
      </w:pPr>
      <w:r>
        <w:rPr>
          <w:b/>
          <w:color w:val="1F4E78"/>
          <w:sz w:val="26"/>
        </w:rPr>
        <w:t>6. Conclusion</w:t>
      </w:r>
    </w:p>
    <w:p>
      <w:pPr>
        <w:pStyle w:val="Normal"/>
        <w:rPr/>
      </w:pPr>
      <w:r>
        <w:rPr/>
        <w:t>FY 2025 demonstrated strong operational performance across all key metrics. The combination of SAP ERP implementation, proactive equipment management, and disciplined procurement processes delivered measurable improvements in efficiency, cost control, and compliance. The recommendations outlined above are intended to strengthen operations further in FY 2026.</w:t>
      </w:r>
    </w:p>
    <w:p>
      <w:pPr>
        <w:pStyle w:val="Normal"/>
        <w:rPr/>
      </w:pPr>
      <w:r>
        <w:rPr/>
      </w:r>
    </w:p>
    <w:p>
      <w:pPr>
        <w:pStyle w:val="Normal"/>
        <w:rPr/>
      </w:pPr>
      <w:r>
        <w:rPr/>
      </w:r>
    </w:p>
    <w:p>
      <w:pPr>
        <w:pStyle w:val="Normal"/>
        <w:spacing w:before="240" w:after="200"/>
        <w:jc w:val="center"/>
        <w:rPr/>
      </w:pPr>
      <w:r>
        <w:rPr>
          <w:b/>
          <w:sz w:val="18"/>
        </w:rPr>
        <w:t>Prepared by: [Operations Coordinator]  |  Muscat, Oman  |  [Date]</w:t>
      </w:r>
    </w:p>
    <w:p>
      <w:pPr>
        <w:pStyle w:val="Normal"/>
        <w:jc w:val="center"/>
        <w:rPr/>
      </w:pPr>
      <w:r>
        <w:rPr>
          <w:sz w:val="18"/>
        </w:rPr>
        <w:t>Reviewed by: ________________________  |  Operations Manager  |  Date: ____________</w:t>
      </w:r>
    </w:p>
    <w:p>
      <w:pPr>
        <w:pStyle w:val="Normal"/>
        <w:spacing w:before="240" w:after="200"/>
        <w:jc w:val="center"/>
        <w:rPr/>
      </w:pPr>
      <w:r>
        <w:rPr>
          <w:i/>
          <w:sz w:val="16"/>
        </w:rPr>
        <w:t>CONFIDENTIAL — FOR INTERNAL USE ONLY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LibreOffice/26.2.1.2$Windows_X86_64 LibreOffice_project/620$Build-2</Application>
  <AppVersion>15.0000</AppVersion>
  <Pages>4</Pages>
  <Words>670</Words>
  <Characters>4079</Characters>
  <CharactersWithSpaces>4618</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2026-04-20T10:11:25Z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