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D1B2A" w:sz="1"/>
              <w:left w:val="single" w:color="0D1B2A" w:sz="1"/>
              <w:bottom w:val="single" w:color="0D1B2A" w:sz="1"/>
              <w:right w:val="single" w:color="0D1B2A" w:sz="1"/>
            </w:tcBorders>
            <w:shd w:fill="0D1B2A" w:val="clear"/>
            <w:tcMar>
              <w:top w:type="dxa" w:w="320"/>
              <w:left w:type="dxa" w:w="360"/>
              <w:bottom w:type="dxa" w:w="320"/>
              <w:right w:type="dxa" w:w="360"/>
            </w:tcMar>
          </w:tcPr>
          <w:p>
            <w:pPr>
              <w:jc w:val="center"/>
            </w:pPr>
            <w:r>
              <w:rPr>
                <w:rFonts w:ascii="Arial" w:cs="Arial" w:eastAsia="Arial" w:hAnsi="Arial"/>
                <w:b/>
                <w:bCs/>
                <w:color w:val="FFFFFF"/>
                <w:sz w:val="36"/>
                <w:szCs w:val="36"/>
              </w:rPr>
              <w:t xml:space="preserve">OPERATIONS PERFORMANCE REPORT</w:t>
            </w:r>
          </w:p>
          <w:p>
            <w:pPr>
              <w:spacing w:before="100"/>
              <w:jc w:val="center"/>
            </w:pPr>
            <w:r>
              <w:rPr>
                <w:rFonts w:ascii="Arial" w:cs="Arial" w:eastAsia="Arial" w:hAnsi="Arial"/>
                <w:color w:val="AACCE8"/>
                <w:sz w:val="22"/>
                <w:szCs w:val="22"/>
              </w:rPr>
              <w:t xml:space="preserve">Annual Summary &amp; Analysis  |  Fiscal Year 2025</w:t>
            </w:r>
          </w:p>
          <w:p>
            <w:pPr>
              <w:spacing w:before="60"/>
              <w:jc w:val="center"/>
            </w:pPr>
            <w:r>
              <w:rPr>
                <w:rFonts w:ascii="Arial" w:cs="Arial" w:eastAsia="Arial" w:hAnsi="Arial"/>
                <w:color w:val="7799BB"/>
                <w:sz w:val="18"/>
                <w:szCs w:val="18"/>
              </w:rPr>
              <w:t xml:space="preserve">Prepared by: Arjun Dev Devadas, Operations Coordinator  |  April 2026</w:t>
            </w:r>
          </w:p>
        </w:tc>
      </w:tr>
    </w:tbl>
    <w:p>
      <w:pPr>
        <w:spacing w:after="0" w:before="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1E4D8C" w:sz="1"/>
              <w:left w:val="single" w:color="1E4D8C" w:sz="1"/>
              <w:bottom w:val="single" w:color="1E4D8C" w:sz="1"/>
              <w:right w:val="single" w:color="1E4D8C" w:sz="1"/>
            </w:tcBorders>
            <w:shd w:fill="1E4D8C" w:val="clear"/>
            <w:tcMar>
              <w:top w:type="dxa" w:w="140"/>
              <w:left w:type="dxa" w:w="180"/>
              <w:bottom w:type="dxa" w:w="140"/>
              <w:right w:type="dxa" w:w="180"/>
            </w:tcMar>
          </w:tcPr>
          <w:p>
            <w:pPr>
              <w:jc w:val="center"/>
            </w:pPr>
            <w:r>
              <w:rPr>
                <w:rFonts w:ascii="Arial" w:cs="Arial" w:eastAsia="Arial" w:hAnsi="Arial"/>
                <w:b/>
                <w:bCs/>
                <w:color w:val="FFFFFF"/>
                <w:sz w:val="32"/>
                <w:szCs w:val="32"/>
              </w:rPr>
              <w:t xml:space="preserve">$1.94M</w:t>
            </w:r>
          </w:p>
          <w:p>
            <w:pPr>
              <w:jc w:val="center"/>
            </w:pPr>
            <w:r>
              <w:rPr>
                <w:rFonts w:ascii="Arial" w:cs="Arial" w:eastAsia="Arial" w:hAnsi="Arial"/>
                <w:color w:val="AACCE8"/>
                <w:sz w:val="18"/>
                <w:szCs w:val="18"/>
              </w:rPr>
              <w:t xml:space="preserve">Total PO Value</w:t>
            </w:r>
          </w:p>
        </w:tc>
        <w:tc>
          <w:tcPr>
            <w:tcW w:type="dxa" w:w="2430"/>
            <w:tcBorders>
              <w:top w:val="single" w:color="1B5E3B" w:sz="1"/>
              <w:left w:val="single" w:color="1B5E3B" w:sz="1"/>
              <w:bottom w:val="single" w:color="1B5E3B" w:sz="1"/>
              <w:right w:val="single" w:color="1B5E3B" w:sz="1"/>
            </w:tcBorders>
            <w:shd w:fill="1B5E3B" w:val="clear"/>
            <w:tcMar>
              <w:top w:type="dxa" w:w="140"/>
              <w:left w:type="dxa" w:w="180"/>
              <w:bottom w:type="dxa" w:w="140"/>
              <w:right w:type="dxa" w:w="180"/>
            </w:tcMar>
          </w:tcPr>
          <w:p>
            <w:pPr>
              <w:jc w:val="center"/>
            </w:pPr>
            <w:r>
              <w:rPr>
                <w:rFonts w:ascii="Arial" w:cs="Arial" w:eastAsia="Arial" w:hAnsi="Arial"/>
                <w:b/>
                <w:bCs/>
                <w:color w:val="FFFFFF"/>
                <w:sz w:val="32"/>
                <w:szCs w:val="32"/>
              </w:rPr>
              <w:t xml:space="preserve">98.3%</w:t>
            </w:r>
          </w:p>
          <w:p>
            <w:pPr>
              <w:jc w:val="center"/>
            </w:pPr>
            <w:r>
              <w:rPr>
                <w:rFonts w:ascii="Arial" w:cs="Arial" w:eastAsia="Arial" w:hAnsi="Arial"/>
                <w:color w:val="AADDBB"/>
                <w:sz w:val="18"/>
                <w:szCs w:val="18"/>
              </w:rPr>
              <w:t xml:space="preserve">On-Time Delivery</w:t>
            </w:r>
          </w:p>
        </w:tc>
        <w:tc>
          <w:tcPr>
            <w:tcW w:type="dxa" w:w="2430"/>
            <w:tcBorders>
              <w:top w:val="single" w:color="7A3B00" w:sz="1"/>
              <w:left w:val="single" w:color="7A3B00" w:sz="1"/>
              <w:bottom w:val="single" w:color="7A3B00" w:sz="1"/>
              <w:right w:val="single" w:color="7A3B00" w:sz="1"/>
            </w:tcBorders>
            <w:shd w:fill="7A3B00" w:val="clear"/>
            <w:tcMar>
              <w:top w:type="dxa" w:w="140"/>
              <w:left w:type="dxa" w:w="180"/>
              <w:bottom w:type="dxa" w:w="140"/>
              <w:right w:type="dxa" w:w="180"/>
            </w:tcMar>
          </w:tcPr>
          <w:p>
            <w:pPr>
              <w:jc w:val="center"/>
            </w:pPr>
            <w:r>
              <w:rPr>
                <w:rFonts w:ascii="Arial" w:cs="Arial" w:eastAsia="Arial" w:hAnsi="Arial"/>
                <w:b/>
                <w:bCs/>
                <w:color w:val="FFFFFF"/>
                <w:sz w:val="32"/>
                <w:szCs w:val="32"/>
              </w:rPr>
              <w:t xml:space="preserve">247</w:t>
            </w:r>
          </w:p>
          <w:p>
            <w:pPr>
              <w:jc w:val="center"/>
            </w:pPr>
            <w:r>
              <w:rPr>
                <w:rFonts w:ascii="Arial" w:cs="Arial" w:eastAsia="Arial" w:hAnsi="Arial"/>
                <w:color w:val="FFDDAA"/>
                <w:sz w:val="18"/>
                <w:szCs w:val="18"/>
              </w:rPr>
              <w:t xml:space="preserve">POs Processed</w:t>
            </w:r>
          </w:p>
        </w:tc>
        <w:tc>
          <w:tcPr>
            <w:tcW w:type="dxa" w:w="2430"/>
            <w:tcBorders>
              <w:top w:val="single" w:color="2D5A8E" w:sz="1"/>
              <w:left w:val="single" w:color="2D5A8E" w:sz="1"/>
              <w:bottom w:val="single" w:color="2D5A8E" w:sz="1"/>
              <w:right w:val="single" w:color="2D5A8E" w:sz="1"/>
            </w:tcBorders>
            <w:shd w:fill="2D5A8E" w:val="clear"/>
            <w:tcMar>
              <w:top w:type="dxa" w:w="140"/>
              <w:left w:type="dxa" w:w="180"/>
              <w:bottom w:type="dxa" w:w="140"/>
              <w:right w:type="dxa" w:w="180"/>
            </w:tcMar>
          </w:tcPr>
          <w:p>
            <w:pPr>
              <w:jc w:val="center"/>
            </w:pPr>
            <w:r>
              <w:rPr>
                <w:rFonts w:ascii="Arial" w:cs="Arial" w:eastAsia="Arial" w:hAnsi="Arial"/>
                <w:b/>
                <w:bCs/>
                <w:color w:val="FFFFFF"/>
                <w:sz w:val="32"/>
                <w:szCs w:val="32"/>
              </w:rPr>
              <w:t xml:space="preserve">0</w:t>
            </w:r>
          </w:p>
          <w:p>
            <w:pPr>
              <w:jc w:val="center"/>
            </w:pPr>
            <w:r>
              <w:rPr>
                <w:rFonts w:ascii="Arial" w:cs="Arial" w:eastAsia="Arial" w:hAnsi="Arial"/>
                <w:color w:val="AACCE8"/>
                <w:sz w:val="18"/>
                <w:szCs w:val="18"/>
              </w:rPr>
              <w:t xml:space="preserve">Safety Incidents</w:t>
            </w:r>
          </w:p>
        </w:tc>
      </w:tr>
    </w:tbl>
    <w:p>
      <w:pPr>
        <w:spacing w:after="0" w:before="280"/>
      </w:pPr>
    </w:p>
    <w:p>
      <w:pPr>
        <w:pBdr>
          <w:bottom w:val="single" w:color="1E4D8C" w:sz="10" w:space="4"/>
        </w:pBdr>
        <w:spacing w:after="140" w:before="320"/>
      </w:pPr>
      <w:r>
        <w:rPr>
          <w:rFonts w:ascii="Arial" w:cs="Arial" w:eastAsia="Arial" w:hAnsi="Arial"/>
          <w:b/>
          <w:bCs/>
          <w:color w:val="1E4D8C"/>
          <w:sz w:val="24"/>
          <w:szCs w:val="24"/>
        </w:rPr>
        <w:t xml:space="preserve">1. Executive Summary</w:t>
      </w:r>
    </w:p>
    <w:p>
      <w:pPr>
        <w:spacing w:after="80" w:before="80"/>
      </w:pPr>
      <w:r>
        <w:rPr>
          <w:rFonts w:ascii="Arial" w:cs="Arial" w:eastAsia="Arial" w:hAnsi="Arial"/>
          <w:b w:val="false"/>
          <w:bCs w:val="false"/>
          <w:color w:val="111111"/>
          <w:sz w:val="20"/>
          <w:szCs w:val="20"/>
        </w:rPr>
        <w:t xml:space="preserve">This report presents the FY 2025 operational performance for the Fort McMurray base operations. The year was characterized by strong procurement execution, a zero-incident safety record, and the successful implementation of an enhanced equipment certification tracking system. Total procurement value reached $1.94M across 247 purchase orders, with an on-time delivery rate of 98.3% — exceeding the 95% annual target.</w:t>
      </w:r>
    </w:p>
    <w:p>
      <w:pPr>
        <w:spacing w:after="80" w:before="80"/>
      </w:pPr>
    </w:p>
    <w:p>
      <w:pPr>
        <w:spacing w:after="80" w:before="80"/>
      </w:pPr>
      <w:r>
        <w:rPr>
          <w:rFonts w:ascii="Arial" w:cs="Arial" w:eastAsia="Arial" w:hAnsi="Arial"/>
          <w:b w:val="false"/>
          <w:bCs w:val="false"/>
          <w:color w:val="111111"/>
          <w:sz w:val="20"/>
          <w:szCs w:val="20"/>
        </w:rPr>
        <w:t xml:space="preserve">Key highlights for FY 2025 include the full transition to SAP ERP for all procurement and logistics workflows, a base infrastructure improvement project completed in Q3, and zero workplace safety incidents for the third consecutive year. These results reflect the team’s commitment to operational discipline, continuous process improvement, and rigorous safety compliance.</w:t>
      </w:r>
    </w:p>
    <w:p>
      <w:pPr>
        <w:spacing w:after="0" w:before="240"/>
      </w:pPr>
    </w:p>
    <w:p>
      <w:pPr>
        <w:pBdr>
          <w:bottom w:val="single" w:color="1E4D8C" w:sz="10" w:space="4"/>
        </w:pBdr>
        <w:spacing w:after="140" w:before="320"/>
      </w:pPr>
      <w:r>
        <w:rPr>
          <w:rFonts w:ascii="Arial" w:cs="Arial" w:eastAsia="Arial" w:hAnsi="Arial"/>
          <w:b/>
          <w:bCs/>
          <w:color w:val="1E4D8C"/>
          <w:sz w:val="24"/>
          <w:szCs w:val="24"/>
        </w:rPr>
        <w:t xml:space="preserve">2. Procurement Performance</w:t>
      </w:r>
    </w:p>
    <w:p>
      <w:pPr>
        <w:pBdr>
          <w:bottom w:val="single" w:color="888888" w:sz="4" w:space="4"/>
        </w:pBdr>
        <w:spacing w:after="140" w:before="320"/>
      </w:pPr>
      <w:r>
        <w:rPr>
          <w:rFonts w:ascii="Arial" w:cs="Arial" w:eastAsia="Arial" w:hAnsi="Arial"/>
          <w:b/>
          <w:bCs/>
          <w:color w:val="555F6E"/>
          <w:sz w:val="21"/>
          <w:szCs w:val="21"/>
        </w:rPr>
        <w:t xml:space="preserve">2.1  Purchase Order Summary by Quarter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1260"/>
        <w:gridCol w:w="1260"/>
        <w:gridCol w:w="1260"/>
        <w:gridCol w:w="1260"/>
        <w:gridCol w:w="1440"/>
      </w:tblGrid>
      <w:tr>
        <w:tc>
          <w:tcPr>
            <w:tcW w:type="dxa" w:w="300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126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Q1</w:t>
            </w:r>
          </w:p>
        </w:tc>
        <w:tc>
          <w:tcPr>
            <w:tcW w:type="dxa" w:w="126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Q2</w:t>
            </w:r>
          </w:p>
        </w:tc>
        <w:tc>
          <w:tcPr>
            <w:tcW w:type="dxa" w:w="126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Q3</w:t>
            </w:r>
          </w:p>
        </w:tc>
        <w:tc>
          <w:tcPr>
            <w:tcW w:type="dxa" w:w="126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Q4</w:t>
            </w:r>
          </w:p>
        </w:tc>
        <w:tc>
          <w:tcPr>
            <w:tcW w:type="dxa" w:w="144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 Total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Safety &amp; PPE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$89,400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$76,200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$82,100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$91,300</w:t>
            </w:r>
          </w:p>
        </w:tc>
        <w:tc>
          <w:tcPr>
            <w:tcW w:type="dxa" w:w="14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4D8C"/>
                <w:sz w:val="20"/>
                <w:szCs w:val="20"/>
              </w:rPr>
              <w:t xml:space="preserve">$339,000</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Spare Parts &amp; Maintenance</w:t>
            </w:r>
          </w:p>
        </w:tc>
        <w:tc>
          <w:tcPr>
            <w:tcW w:type="dxa" w:w="12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$198,500</w:t>
            </w:r>
          </w:p>
        </w:tc>
        <w:tc>
          <w:tcPr>
            <w:tcW w:type="dxa" w:w="12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$221,000</w:t>
            </w:r>
          </w:p>
        </w:tc>
        <w:tc>
          <w:tcPr>
            <w:tcW w:type="dxa" w:w="12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$187,300</w:t>
            </w:r>
          </w:p>
        </w:tc>
        <w:tc>
          <w:tcPr>
            <w:tcW w:type="dxa" w:w="12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$243,100</w:t>
            </w:r>
          </w:p>
        </w:tc>
        <w:tc>
          <w:tcPr>
            <w:tcW w:type="dxa" w:w="14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4D8C"/>
                <w:sz w:val="20"/>
                <w:szCs w:val="20"/>
              </w:rPr>
              <w:t xml:space="preserve">$849,900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Lab &amp; Calibration Supplies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$38,600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$44,200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$39,800</w:t>
            </w:r>
          </w:p>
        </w:tc>
        <w:tc>
          <w:tcPr>
            <w:tcW w:type="dxa" w:w="14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4D8C"/>
                <w:sz w:val="20"/>
                <w:szCs w:val="20"/>
              </w:rPr>
              <w:t xml:space="preserve">$164,700</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Facility &amp; Infrastructure</w:t>
            </w:r>
          </w:p>
        </w:tc>
        <w:tc>
          <w:tcPr>
            <w:tcW w:type="dxa" w:w="12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$95,200</w:t>
            </w:r>
          </w:p>
        </w:tc>
        <w:tc>
          <w:tcPr>
            <w:tcW w:type="dxa" w:w="12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$31,400</w:t>
            </w:r>
          </w:p>
        </w:tc>
        <w:tc>
          <w:tcPr>
            <w:tcW w:type="dxa" w:w="12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$187,600</w:t>
            </w:r>
          </w:p>
        </w:tc>
        <w:tc>
          <w:tcPr>
            <w:tcW w:type="dxa" w:w="12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$44,100</w:t>
            </w:r>
          </w:p>
        </w:tc>
        <w:tc>
          <w:tcPr>
            <w:tcW w:type="dxa" w:w="14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4D8C"/>
                <w:sz w:val="20"/>
                <w:szCs w:val="20"/>
              </w:rPr>
              <w:t xml:space="preserve">$358,300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Logistics &amp; Transport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$51,300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$48,700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$53,200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$74,100</w:t>
            </w:r>
          </w:p>
        </w:tc>
        <w:tc>
          <w:tcPr>
            <w:tcW w:type="dxa" w:w="14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E4D8C"/>
                <w:sz w:val="20"/>
                <w:szCs w:val="20"/>
              </w:rPr>
              <w:t xml:space="preserve">$227,300</w:t>
            </w:r>
          </w:p>
        </w:tc>
      </w:tr>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c>
          <w:tcPr>
            <w:tcW w:type="dxa" w:w="12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$476,500</w:t>
            </w:r>
          </w:p>
        </w:tc>
        <w:tc>
          <w:tcPr>
            <w:tcW w:type="dxa" w:w="12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$415,900</w:t>
            </w:r>
          </w:p>
        </w:tc>
        <w:tc>
          <w:tcPr>
            <w:tcW w:type="dxa" w:w="12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$554,400</w:t>
            </w:r>
          </w:p>
        </w:tc>
        <w:tc>
          <w:tcPr>
            <w:tcW w:type="dxa" w:w="12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$492,400</w:t>
            </w:r>
          </w:p>
        </w:tc>
        <w:tc>
          <w:tcPr>
            <w:tcW w:type="dxa" w:w="14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$1,939,200</w:t>
            </w:r>
          </w:p>
        </w:tc>
      </w:tr>
    </w:tbl>
    <w:p>
      <w:pPr>
        <w:spacing w:after="80" w:before="120"/>
      </w:pPr>
    </w:p>
    <w:p>
      <w:pPr>
        <w:spacing w:after="80" w:before="80"/>
      </w:pPr>
      <w:r>
        <w:rPr>
          <w:rFonts w:ascii="Arial" w:cs="Arial" w:eastAsia="Arial" w:hAnsi="Arial"/>
          <w:b w:val="false"/>
          <w:bCs w:val="false"/>
          <w:color w:val="111111"/>
          <w:sz w:val="20"/>
          <w:szCs w:val="20"/>
        </w:rPr>
        <w:t xml:space="preserve">Spare parts and maintenance represented the largest procurement category at 43.8% of total spend, consistent with the operational nature of the base. The Q3 facility spend spike reflects the planned base infrastructure improvement project, which was completed on time and within a 3% budget variance.</w:t>
      </w:r>
    </w:p>
    <w:p>
      <w:pPr>
        <w:pBdr>
          <w:bottom w:val="single" w:color="888888" w:sz="4" w:space="4"/>
        </w:pBdr>
        <w:spacing w:after="140" w:before="320"/>
      </w:pPr>
      <w:r>
        <w:rPr>
          <w:rFonts w:ascii="Arial" w:cs="Arial" w:eastAsia="Arial" w:hAnsi="Arial"/>
          <w:b/>
          <w:bCs/>
          <w:color w:val="555F6E"/>
          <w:sz w:val="21"/>
          <w:szCs w:val="21"/>
        </w:rPr>
        <w:t xml:space="preserve">2.2  Vendor Performance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560"/>
        <w:gridCol w:w="1560"/>
        <w:gridCol w:w="1200"/>
      </w:tblGrid>
      <w:tr>
        <w:tc>
          <w:tcPr>
            <w:tcW w:type="dxa" w:w="340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Vendor</w:t>
            </w:r>
          </w:p>
        </w:tc>
        <w:tc>
          <w:tcPr>
            <w:tcW w:type="dxa" w:w="200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156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 FY2025</w:t>
            </w:r>
          </w:p>
        </w:tc>
        <w:tc>
          <w:tcPr>
            <w:tcW w:type="dxa" w:w="156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On-Time Rate</w:t>
            </w:r>
          </w:p>
        </w:tc>
        <w:tc>
          <w:tcPr>
            <w:tcW w:type="dxa" w:w="120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Northern Safety Supplies Ltd.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Safety &amp; PPE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7A4A"/>
                <w:sz w:val="20"/>
                <w:szCs w:val="20"/>
              </w:rPr>
              <w:t xml:space="preserve">97.4%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MacLean Industrial Parts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Spare Parts</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1B7A4A"/>
                <w:sz w:val="20"/>
                <w:szCs w:val="20"/>
              </w:rPr>
              <w:t xml:space="preserve">98.0%</w:t>
            </w:r>
          </w:p>
        </w:tc>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Calibration Services Alberta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Lab &amp; Calibration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7A4A"/>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Wolseley Industrial</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Spare Parts</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43</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1B7A4A"/>
                <w:sz w:val="20"/>
                <w:szCs w:val="20"/>
              </w:rPr>
              <w:t xml:space="preserve">96.5%</w:t>
            </w:r>
          </w:p>
        </w:tc>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Clean Harbors Canada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7A4A"/>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Grainger Industrial</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Facility</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1B7A4A"/>
                <w:sz w:val="20"/>
                <w:szCs w:val="20"/>
              </w:rPr>
              <w:t xml:space="preserve">94.8%</w:t>
            </w:r>
          </w:p>
        </w:tc>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bl>
    <w:p>
      <w:pPr>
        <w:spacing w:after="0" w:before="240"/>
      </w:pPr>
    </w:p>
    <w:p>
      <w:pPr>
        <w:pBdr>
          <w:bottom w:val="single" w:color="1E4D8C" w:sz="10" w:space="4"/>
        </w:pBdr>
        <w:spacing w:after="140" w:before="320"/>
      </w:pPr>
      <w:r>
        <w:rPr>
          <w:rFonts w:ascii="Arial" w:cs="Arial" w:eastAsia="Arial" w:hAnsi="Arial"/>
          <w:b/>
          <w:bCs/>
          <w:color w:val="1E4D8C"/>
          <w:sz w:val="24"/>
          <w:szCs w:val="24"/>
        </w:rPr>
        <w:t xml:space="preserve">3. Safety &amp; Compliance</w:t>
      </w:r>
    </w:p>
    <w:p>
      <w:pPr>
        <w:spacing w:after="80" w:before="80"/>
      </w:pPr>
      <w:r>
        <w:rPr>
          <w:rFonts w:ascii="Arial" w:cs="Arial" w:eastAsia="Arial" w:hAnsi="Arial"/>
          <w:b w:val="false"/>
          <w:bCs w:val="false"/>
          <w:color w:val="111111"/>
          <w:sz w:val="20"/>
          <w:szCs w:val="20"/>
        </w:rPr>
        <w:t xml:space="preserve">FY 2025 marked the third consecutive year of zero lost-time safety incidents across base operations. This outcome reflects the team’s rigorous adherence to Journey Management Planning protocols, consistent PPE compliance, and proactive safety equipment certification management.</w:t>
      </w:r>
    </w:p>
    <w:p>
      <w:pPr>
        <w:spacing w:after="60"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0"/>
        <w:gridCol w:w="1930"/>
        <w:gridCol w:w="1930"/>
        <w:gridCol w:w="1860"/>
      </w:tblGrid>
      <w:tr>
        <w:tc>
          <w:tcPr>
            <w:tcW w:type="dxa" w:w="400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Safety KPI</w:t>
            </w:r>
          </w:p>
        </w:tc>
        <w:tc>
          <w:tcPr>
            <w:tcW w:type="dxa" w:w="193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193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Actual</w:t>
            </w:r>
          </w:p>
        </w:tc>
        <w:tc>
          <w:tcPr>
            <w:tcW w:type="dxa" w:w="1860"/>
            <w:tcBorders>
              <w:top w:val="single" w:color="1E4D8C" w:sz="1"/>
              <w:left w:val="single" w:color="1E4D8C" w:sz="1"/>
              <w:bottom w:val="single" w:color="1E4D8C" w:sz="1"/>
              <w:right w:val="single" w:color="1E4D8C" w:sz="1"/>
            </w:tcBorders>
            <w:shd w:fill="1E4D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Lost-Time Incidents</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A4A"/>
                <w:sz w:val="20"/>
                <w:szCs w:val="20"/>
              </w:rPr>
              <w:t xml:space="preserve">0</w:t>
            </w:r>
          </w:p>
        </w:tc>
        <w:tc>
          <w:tcPr>
            <w:tcW w:type="dxa" w:w="1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1B7A4A"/>
                <w:sz w:val="20"/>
                <w:szCs w:val="20"/>
              </w:rPr>
              <w:t xml:space="preserve">✔ Achieved</w:t>
            </w:r>
          </w:p>
        </w:tc>
      </w:tr>
      <w:tr>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Near-Miss Reports Filed</w:t>
            </w:r>
          </w:p>
        </w:tc>
        <w:tc>
          <w:tcPr>
            <w:tcW w:type="dxa" w:w="193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All reported</w:t>
            </w:r>
          </w:p>
        </w:tc>
        <w:tc>
          <w:tcPr>
            <w:tcW w:type="dxa" w:w="193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bCs/>
                <w:color w:val="1B7A4A"/>
                <w:sz w:val="20"/>
                <w:szCs w:val="20"/>
              </w:rPr>
              <w:t xml:space="preserve">12</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B7A4A"/>
                <w:sz w:val="20"/>
                <w:szCs w:val="20"/>
              </w:rPr>
              <w:t xml:space="preserve">✔ Achieved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Equipment Certifications Current</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A4A"/>
                <w:sz w:val="20"/>
                <w:szCs w:val="20"/>
              </w:rPr>
              <w:t xml:space="preserve">100%</w:t>
            </w:r>
          </w:p>
        </w:tc>
        <w:tc>
          <w:tcPr>
            <w:tcW w:type="dxa" w:w="1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1B7A4A"/>
                <w:sz w:val="20"/>
                <w:szCs w:val="20"/>
              </w:rPr>
              <w:t xml:space="preserve">✔ Achieved</w:t>
            </w:r>
          </w:p>
        </w:tc>
      </w:tr>
      <w:tr>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PPE Compliance Rate (audited)</w:t>
            </w:r>
          </w:p>
        </w:tc>
        <w:tc>
          <w:tcPr>
            <w:tcW w:type="dxa" w:w="193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98%</w:t>
            </w:r>
          </w:p>
        </w:tc>
        <w:tc>
          <w:tcPr>
            <w:tcW w:type="dxa" w:w="193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bCs/>
                <w:color w:val="1B7A4A"/>
                <w:sz w:val="20"/>
                <w:szCs w:val="20"/>
              </w:rPr>
              <w:t xml:space="preserve">99.2%</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B7A4A"/>
                <w:sz w:val="20"/>
                <w:szCs w:val="20"/>
              </w:rPr>
              <w:t xml:space="preserve">✔ Exceeded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Journey Management Plans Filed</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All movements</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7A4A"/>
                <w:sz w:val="20"/>
                <w:szCs w:val="20"/>
              </w:rPr>
              <w:t xml:space="preserve">214</w:t>
            </w:r>
          </w:p>
        </w:tc>
        <w:tc>
          <w:tcPr>
            <w:tcW w:type="dxa" w:w="18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1B7A4A"/>
                <w:sz w:val="20"/>
                <w:szCs w:val="20"/>
              </w:rPr>
              <w:t xml:space="preserve">✔ Achieved</w:t>
            </w:r>
          </w:p>
        </w:tc>
      </w:tr>
      <w:tr>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H2S Detector Calibrations On Time</w:t>
            </w:r>
          </w:p>
        </w:tc>
        <w:tc>
          <w:tcPr>
            <w:tcW w:type="dxa" w:w="193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93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bCs/>
                <w:color w:val="1B7A4A"/>
                <w:sz w:val="20"/>
                <w:szCs w:val="20"/>
              </w:rPr>
              <w:t xml:space="preserve">100%</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B7A4A"/>
                <w:sz w:val="20"/>
                <w:szCs w:val="20"/>
              </w:rPr>
              <w:t xml:space="preserve">✔ Achieved</w:t>
            </w:r>
          </w:p>
        </w:tc>
      </w:tr>
    </w:tbl>
    <w:p>
      <w:pPr>
        <w:spacing w:after="0" w:before="240"/>
      </w:pPr>
    </w:p>
    <w:p>
      <w:pPr>
        <w:pBdr>
          <w:bottom w:val="single" w:color="1E4D8C" w:sz="10" w:space="4"/>
        </w:pBdr>
        <w:spacing w:after="140" w:before="320"/>
      </w:pPr>
      <w:r>
        <w:rPr>
          <w:rFonts w:ascii="Arial" w:cs="Arial" w:eastAsia="Arial" w:hAnsi="Arial"/>
          <w:b/>
          <w:bCs/>
          <w:color w:val="1E4D8C"/>
          <w:sz w:val="24"/>
          <w:szCs w:val="24"/>
        </w:rPr>
        <w:t xml:space="preserve">4. Process Improvements &amp; Initiatives</w:t>
      </w:r>
    </w:p>
    <w:p>
      <w:pPr>
        <w:spacing w:after="80" w:before="160"/>
      </w:pPr>
      <w:r>
        <w:rPr>
          <w:rFonts w:ascii="Arial" w:cs="Arial" w:eastAsia="Arial" w:hAnsi="Arial"/>
          <w:b/>
          <w:bCs/>
          <w:color w:val="0D1B2A"/>
          <w:sz w:val="21"/>
          <w:szCs w:val="21"/>
        </w:rPr>
        <w:t xml:space="preserve">4.1  SAP ERP Full Implementation</w:t>
      </w:r>
    </w:p>
    <w:p>
      <w:pPr>
        <w:spacing w:after="60" w:before="60"/>
        <w:ind w:left="720" w:hanging="360"/>
      </w:pPr>
      <w:r>
        <w:rPr>
          <w:rFonts w:ascii="Arial" w:cs="Arial" w:eastAsia="Arial" w:hAnsi="Arial"/>
          <w:sz w:val="20"/>
          <w:szCs w:val="20"/>
        </w:rPr>
        <w:t xml:space="preserve">•  Completed full transition from legacy procurement system to SAP ERP in Q1 2025, covering purchase order creation, GRN management, vendor master data, and logistics tracking.</w:t>
      </w:r>
    </w:p>
    <w:p>
      <w:pPr>
        <w:spacing w:after="60" w:before="60"/>
        <w:ind w:left="720" w:hanging="360"/>
      </w:pPr>
      <w:r>
        <w:rPr>
          <w:rFonts w:ascii="Arial" w:cs="Arial" w:eastAsia="Arial" w:hAnsi="Arial"/>
          <w:sz w:val="20"/>
          <w:szCs w:val="20"/>
        </w:rPr>
        <w:t xml:space="preserve">•  Reduced average PO processing time from 3.2 days to 1.1 days following system optimization and staff training.</w:t>
      </w:r>
    </w:p>
    <w:p>
      <w:pPr>
        <w:spacing w:after="60" w:before="60"/>
        <w:ind w:left="720" w:hanging="360"/>
      </w:pPr>
      <w:r>
        <w:rPr>
          <w:rFonts w:ascii="Arial" w:cs="Arial" w:eastAsia="Arial" w:hAnsi="Arial"/>
          <w:sz w:val="20"/>
          <w:szCs w:val="20"/>
        </w:rPr>
        <w:t xml:space="preserve">•  All 247 FY 2025 POs processed through SAP with full audit trail compliance.</w:t>
      </w:r>
    </w:p>
    <w:p>
      <w:pPr>
        <w:spacing w:after="80" w:before="160"/>
      </w:pPr>
      <w:r>
        <w:rPr>
          <w:rFonts w:ascii="Arial" w:cs="Arial" w:eastAsia="Arial" w:hAnsi="Arial"/>
          <w:b/>
          <w:bCs/>
          <w:color w:val="0D1B2A"/>
          <w:sz w:val="21"/>
          <w:szCs w:val="21"/>
        </w:rPr>
        <w:t xml:space="preserve">4.2  Safety Equipment Certification Tracker</w:t>
      </w:r>
    </w:p>
    <w:p>
      <w:pPr>
        <w:spacing w:after="60" w:before="60"/>
        <w:ind w:left="720" w:hanging="360"/>
      </w:pPr>
      <w:r>
        <w:rPr>
          <w:rFonts w:ascii="Arial" w:cs="Arial" w:eastAsia="Arial" w:hAnsi="Arial"/>
          <w:sz w:val="20"/>
          <w:szCs w:val="20"/>
        </w:rPr>
        <w:t xml:space="preserve">•  Designed and implemented a dynamic Excel-based certification tracker to monitor expiry dates, product numbers, batch numbers, and calibration schedules for all safety equipment.</w:t>
      </w:r>
    </w:p>
    <w:p>
      <w:pPr>
        <w:spacing w:after="60" w:before="60"/>
        <w:ind w:left="720" w:hanging="360"/>
      </w:pPr>
      <w:r>
        <w:rPr>
          <w:rFonts w:ascii="Arial" w:cs="Arial" w:eastAsia="Arial" w:hAnsi="Arial"/>
          <w:sz w:val="20"/>
          <w:szCs w:val="20"/>
        </w:rPr>
        <w:t xml:space="preserve">•  Automated status flagging (Valid / Due Soon / Expiring Soon / Expired) eliminated manual review cycles, reducing recertification lead time from reactive to proactive.</w:t>
      </w:r>
    </w:p>
    <w:p>
      <w:pPr>
        <w:spacing w:after="60" w:before="60"/>
        <w:ind w:left="720" w:hanging="360"/>
      </w:pPr>
      <w:r>
        <w:rPr>
          <w:rFonts w:ascii="Arial" w:cs="Arial" w:eastAsia="Arial" w:hAnsi="Arial"/>
          <w:sz w:val="20"/>
          <w:szCs w:val="20"/>
        </w:rPr>
        <w:t xml:space="preserve">•  Zero certification lapses recorded in FY 2025.</w:t>
      </w:r>
    </w:p>
    <w:p>
      <w:pPr>
        <w:spacing w:after="80" w:before="160"/>
      </w:pPr>
      <w:r>
        <w:rPr>
          <w:rFonts w:ascii="Arial" w:cs="Arial" w:eastAsia="Arial" w:hAnsi="Arial"/>
          <w:b/>
          <w:bCs/>
          <w:color w:val="0D1B2A"/>
          <w:sz w:val="21"/>
          <w:szCs w:val="21"/>
        </w:rPr>
        <w:t xml:space="preserve">4.3  Base Infrastructure Improvement (Q3 Project)</w:t>
      </w:r>
    </w:p>
    <w:p>
      <w:pPr>
        <w:spacing w:after="60" w:before="60"/>
        <w:ind w:left="720" w:hanging="360"/>
      </w:pPr>
      <w:r>
        <w:rPr>
          <w:rFonts w:ascii="Arial" w:cs="Arial" w:eastAsia="Arial" w:hAnsi="Arial"/>
          <w:sz w:val="20"/>
          <w:szCs w:val="20"/>
        </w:rPr>
        <w:t xml:space="preserve">•  Led the design and execution of a base storage reorganization project, including new custom shelving fabrication and yard allocation redesign.</w:t>
      </w:r>
    </w:p>
    <w:p>
      <w:pPr>
        <w:spacing w:after="60" w:before="60"/>
        <w:ind w:left="720" w:hanging="360"/>
      </w:pPr>
      <w:r>
        <w:rPr>
          <w:rFonts w:ascii="Arial" w:cs="Arial" w:eastAsia="Arial" w:hAnsi="Arial"/>
          <w:sz w:val="20"/>
          <w:szCs w:val="20"/>
        </w:rPr>
        <w:t xml:space="preserve">•  Project completed within 3% of budget and 2 days ahead of the 6-week timeline.</w:t>
      </w:r>
    </w:p>
    <w:p>
      <w:pPr>
        <w:spacing w:after="60" w:before="60"/>
        <w:ind w:left="720" w:hanging="360"/>
      </w:pPr>
      <w:r>
        <w:rPr>
          <w:rFonts w:ascii="Arial" w:cs="Arial" w:eastAsia="Arial" w:hAnsi="Arial"/>
          <w:sz w:val="20"/>
          <w:szCs w:val="20"/>
        </w:rPr>
        <w:t xml:space="preserve">•  Estimated 18% reduction in equipment handling time and improved HSE compliance in storage areas.</w:t>
      </w:r>
    </w:p>
    <w:p>
      <w:pPr>
        <w:spacing w:after="0" w:before="240"/>
      </w:pPr>
    </w:p>
    <w:p>
      <w:pPr>
        <w:pBdr>
          <w:bottom w:val="single" w:color="1E4D8C" w:sz="10" w:space="4"/>
        </w:pBdr>
        <w:spacing w:after="140" w:before="320"/>
      </w:pPr>
      <w:r>
        <w:rPr>
          <w:rFonts w:ascii="Arial" w:cs="Arial" w:eastAsia="Arial" w:hAnsi="Arial"/>
          <w:b/>
          <w:bCs/>
          <w:color w:val="1E4D8C"/>
          <w:sz w:val="24"/>
          <w:szCs w:val="24"/>
        </w:rPr>
        <w:t xml:space="preserve">5. Recommendations for FY 2026</w:t>
      </w:r>
    </w:p>
    <w:p>
      <w:pPr>
        <w:spacing w:after="60" w:before="60"/>
        <w:ind w:left="720" w:hanging="360"/>
      </w:pPr>
      <w:r>
        <w:rPr>
          <w:rFonts w:ascii="Arial" w:cs="Arial" w:eastAsia="Arial" w:hAnsi="Arial"/>
          <w:sz w:val="20"/>
          <w:szCs w:val="20"/>
        </w:rPr>
        <w:t xml:space="preserve">•  Introduce a digital Journey Management dashboard to replace the current manual log, improving real-time visibility for the operations manager.</w:t>
      </w:r>
    </w:p>
    <w:p>
      <w:pPr>
        <w:spacing w:after="60" w:before="60"/>
        <w:ind w:left="720" w:hanging="360"/>
      </w:pPr>
      <w:r>
        <w:rPr>
          <w:rFonts w:ascii="Arial" w:cs="Arial" w:eastAsia="Arial" w:hAnsi="Arial"/>
          <w:sz w:val="20"/>
          <w:szCs w:val="20"/>
        </w:rPr>
        <w:t xml:space="preserve">•  Establish a preferred vendor agreement with the top 3 suppliers (by volume) to reduce PO processing overhead and improve pricing consistency.</w:t>
      </w:r>
    </w:p>
    <w:p>
      <w:pPr>
        <w:spacing w:after="60" w:before="60"/>
        <w:ind w:left="720" w:hanging="360"/>
      </w:pPr>
      <w:r>
        <w:rPr>
          <w:rFonts w:ascii="Arial" w:cs="Arial" w:eastAsia="Arial" w:hAnsi="Arial"/>
          <w:sz w:val="20"/>
          <w:szCs w:val="20"/>
        </w:rPr>
        <w:t xml:space="preserve">•  Expand the certification tracker scope to include contractor personnel certifications (H2S, First Aid, CSTS) in addition to equipment.</w:t>
      </w:r>
    </w:p>
    <w:p>
      <w:pPr>
        <w:spacing w:after="60" w:before="60"/>
        <w:ind w:left="720" w:hanging="360"/>
      </w:pPr>
      <w:r>
        <w:rPr>
          <w:rFonts w:ascii="Arial" w:cs="Arial" w:eastAsia="Arial" w:hAnsi="Arial"/>
          <w:sz w:val="20"/>
          <w:szCs w:val="20"/>
        </w:rPr>
        <w:t xml:space="preserve">•  Schedule a mid-year SAP ERP training refresh for all base personnel to ensure consistent usage and data quality.</w:t>
      </w:r>
    </w:p>
    <w:p>
      <w:pPr>
        <w:spacing w:after="0" w:before="240"/>
      </w:pPr>
    </w:p>
    <w:p>
      <w:pPr>
        <w:pBdr>
          <w:bottom w:val="single" w:color="1E4D8C" w:sz="10" w:space="4"/>
        </w:pBdr>
        <w:spacing w:after="140" w:before="320"/>
      </w:pPr>
      <w:r>
        <w:rPr>
          <w:rFonts w:ascii="Arial" w:cs="Arial" w:eastAsia="Arial" w:hAnsi="Arial"/>
          <w:b/>
          <w:bCs/>
          <w:color w:val="1E4D8C"/>
          <w:sz w:val="24"/>
          <w:szCs w:val="24"/>
        </w:rPr>
        <w:t xml:space="preserve">6. Conclusion</w:t>
      </w:r>
    </w:p>
    <w:p>
      <w:pPr>
        <w:spacing w:after="80" w:before="80"/>
      </w:pPr>
      <w:r>
        <w:rPr>
          <w:rFonts w:ascii="Arial" w:cs="Arial" w:eastAsia="Arial" w:hAnsi="Arial"/>
          <w:b w:val="false"/>
          <w:bCs w:val="false"/>
          <w:color w:val="111111"/>
          <w:sz w:val="20"/>
          <w:szCs w:val="20"/>
        </w:rPr>
        <w:t xml:space="preserve">FY 2025 demonstrated strong operational performance across all key metrics. The combination of SAP ERP implementation, proactive safety equipment management, and disciplined procurement processes delivered measurable improvements in efficiency, cost control, and compliance. The recommendations outlined above are intended to build on this foundation and further strengthen base operations in FY 2026.</w:t>
      </w:r>
    </w:p>
    <w:p>
      <w:pPr>
        <w:spacing w:after="0" w:before="2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1"/>
              <w:left w:val="single" w:color="CCCCCC" w:sz="1"/>
              <w:bottom w:val="single" w:color="CCCCCC" w:sz="1"/>
              <w:right w:val="single" w:color="CCCCCC" w:sz="1"/>
            </w:tcBorders>
            <w:shd w:fill="F4F6FA" w:val="clear"/>
            <w:tcMar>
              <w:top w:type="dxa" w:w="120"/>
              <w:left w:type="dxa" w:w="180"/>
              <w:bottom w:type="dxa" w:w="120"/>
              <w:right w:type="dxa" w:w="180"/>
            </w:tcMar>
          </w:tcPr>
          <w:p>
            <w:pPr>
              <w:spacing w:after="60" w:before="0"/>
            </w:pPr>
            <w:r>
              <w:rPr>
                <w:rFonts w:ascii="Arial" w:cs="Arial" w:eastAsia="Arial" w:hAnsi="Arial"/>
                <w:b/>
                <w:bCs/>
                <w:color w:val="0D1B2A"/>
                <w:sz w:val="20"/>
                <w:szCs w:val="20"/>
              </w:rPr>
              <w:t xml:space="preserve">Prepared by:</w:t>
            </w:r>
          </w:p>
          <w:p>
            <w:pPr>
              <w:spacing w:after="40" w:before="0"/>
            </w:pPr>
            <w:r>
              <w:rPr>
                <w:rFonts w:ascii="Arial" w:cs="Arial" w:eastAsia="Arial" w:hAnsi="Arial"/>
                <w:b/>
                <w:bCs/>
                <w:color w:val="0D1B2A"/>
                <w:sz w:val="22"/>
                <w:szCs w:val="22"/>
              </w:rPr>
              <w:t xml:space="preserve">Arjun Dev Devadas</w:t>
            </w:r>
          </w:p>
          <w:p>
            <w:pPr>
              <w:spacing w:after="40" w:before="0"/>
            </w:pPr>
            <w:r>
              <w:rPr>
                <w:rFonts w:ascii="Arial" w:cs="Arial" w:eastAsia="Arial" w:hAnsi="Arial"/>
                <w:b w:val="false"/>
                <w:bCs w:val="false"/>
                <w:color w:val="555F6E"/>
                <w:sz w:val="18"/>
                <w:szCs w:val="18"/>
              </w:rPr>
              <w:t xml:space="preserve">Operations Coordinator | Fort McMurray</w:t>
            </w:r>
          </w:p>
          <w:p>
            <w:pPr>
              <w:spacing w:after="0" w:before="0"/>
            </w:pPr>
            <w:r>
              <w:rPr>
                <w:rFonts w:ascii="Arial" w:cs="Arial" w:eastAsia="Arial" w:hAnsi="Arial"/>
                <w:b w:val="false"/>
                <w:bCs w:val="false"/>
                <w:color w:val="555F6E"/>
                <w:sz w:val="18"/>
                <w:szCs w:val="18"/>
              </w:rPr>
              <w:t xml:space="preserve">April 2026</w:t>
            </w:r>
          </w:p>
        </w:tc>
        <w:tc>
          <w:tcPr>
            <w:tcW w:type="dxa" w:w="48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after="60" w:before="0"/>
            </w:pPr>
            <w:r>
              <w:rPr>
                <w:rFonts w:ascii="Arial" w:cs="Arial" w:eastAsia="Arial" w:hAnsi="Arial"/>
                <w:b/>
                <w:bCs/>
                <w:color w:val="0D1B2A"/>
                <w:sz w:val="20"/>
                <w:szCs w:val="20"/>
              </w:rPr>
              <w:t xml:space="preserve">Reviewed by:</w:t>
            </w:r>
          </w:p>
          <w:p>
            <w:pPr>
              <w:spacing w:after="40" w:before="0"/>
            </w:pPr>
            <w:r>
              <w:rPr>
                <w:rFonts w:ascii="Arial" w:cs="Arial" w:eastAsia="Arial" w:hAnsi="Arial"/>
                <w:b w:val="false"/>
                <w:bCs w:val="false"/>
                <w:color w:val="000000"/>
                <w:sz w:val="20"/>
                <w:szCs w:val="20"/>
              </w:rPr>
              <w:t xml:space="preserve">______________________________</w:t>
            </w:r>
          </w:p>
          <w:p>
            <w:pPr>
              <w:spacing w:after="40" w:before="0"/>
            </w:pPr>
            <w:r>
              <w:rPr>
                <w:rFonts w:ascii="Arial" w:cs="Arial" w:eastAsia="Arial" w:hAnsi="Arial"/>
                <w:b w:val="false"/>
                <w:bCs w:val="false"/>
                <w:color w:val="555F6E"/>
                <w:sz w:val="18"/>
                <w:szCs w:val="18"/>
              </w:rPr>
              <w:t xml:space="preserve">Operations Manager</w:t>
            </w:r>
          </w:p>
          <w:p>
            <w:pPr>
              <w:spacing w:after="0" w:before="0"/>
            </w:pPr>
            <w:r>
              <w:rPr>
                <w:rFonts w:ascii="Arial" w:cs="Arial" w:eastAsia="Arial" w:hAnsi="Arial"/>
                <w:b w:val="false"/>
                <w:bCs w:val="false"/>
                <w:color w:val="555F6E"/>
                <w:sz w:val="18"/>
                <w:szCs w:val="18"/>
              </w:rPr>
              <w:t xml:space="preserve">Date: ____________________</w:t>
            </w:r>
          </w:p>
        </w:tc>
      </w:tr>
    </w:tbl>
    <w:p>
      <w:pPr>
        <w:spacing w:after="0" w:before="160"/>
      </w:pPr>
    </w:p>
    <w:p>
      <w:pPr>
        <w:jc w:val="center"/>
      </w:pPr>
      <w:r>
        <w:rPr>
          <w:rFonts w:ascii="Arial" w:cs="Arial" w:eastAsia="Arial" w:hAnsi="Arial"/>
          <w:color w:val="999999"/>
          <w:sz w:val="16"/>
          <w:szCs w:val="16"/>
        </w:rPr>
        <w:t xml:space="preserve">CONFIDENTIAL — FOR INTERNAL USE ONLY  |  FY 2025 Operations Report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2026-04-12T22:12:34.199Z</dcterms:created>
  <dcterms:modified xsi:type="dcterms:W3CDTF">2026-04-12T22:12:34.200Z</dcterms:modified>
</cp:coreProperties>
</file>

<file path=docProps/custom.xml><?xml version="1.0" encoding="utf-8"?>
<Properties xmlns="http://schemas.openxmlformats.org/officeDocument/2006/custom-properties" xmlns:vt="http://schemas.openxmlformats.org/officeDocument/2006/docPropsVTypes"/>
</file>