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ASADO — Country Selection Data Platform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Database architecture &amp; relationships overview</w:t>
      </w:r>
    </w:p>
    <w:p>
      <w:pPr>
        <w:spacing w:after="80"/>
      </w:pPr>
      <w:r>
        <w:t xml:space="preserve">ASADO is a country-selection research platform that predicts equity returns across a 34-country universe (17 developed plus 17 emerging markets). Its core asset is a unified, query-ready database that consolidates </w:t>
      </w:r>
      <w:r>
        <w:rPr>
          <w:b/>
          <w:bCs/>
        </w:rPr>
        <w:t xml:space="preserve">26 free external data sources</w:t>
      </w:r>
      <w:r>
        <w:t xml:space="preserve"> and </w:t>
      </w:r>
      <w:r>
        <w:rPr>
          <w:b/>
          <w:bCs/>
        </w:rPr>
        <w:t xml:space="preserve">28 Bloomberg Terminal variables</w:t>
      </w:r>
      <w:r>
        <w:t xml:space="preserve"> into a single time-series warehouse spanning February 2000 to the present, with IMF forecast extensions through 2030. The full pipeline rebuilds end-to-end in roughly eight to ten minutes from a single command.</w:t>
      </w:r>
    </w:p>
    <w:p>
      <w:pPr>
        <w:pStyle w:val="Heading2"/>
      </w:pPr>
      <w:r>
        <w:t xml:space="preserve">Architecture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DuckDB (~4 GB) </w:t>
      </w:r>
      <w:r>
        <w:t xml:space="preserve">is the analytical store — a columnar engine optimized for fast SQL over wide time-series panels. It holds raw source panels, a canonical normalized feature layer (cross-sectional and time-series z-scores), monthly and daily factor tables, an event registry, and a prediction-market layer.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Neo4j </w:t>
      </w:r>
      <w:r>
        <w:t xml:space="preserve">is the knowledge graph. It captures the relationships that a flat panel cannot express — who trades with whom, who is exposed to whose banks, who holds whose sovereign debt — with 446 nodes and 6,522 edges across seven entity types and nine relationship types.</w:t>
      </w:r>
    </w:p>
    <w:p>
      <w:pPr>
        <w:pStyle w:val="Heading2"/>
      </w:pPr>
      <w:r>
        <w:t xml:space="preserve">Data scale and coverage</w:t>
      </w:r>
    </w:p>
    <w:p>
      <w:pPr>
        <w:spacing w:after="80"/>
      </w:pPr>
      <w:r>
        <w:t xml:space="preserve">The warehouse holds </w:t>
      </w:r>
      <w:r>
        <w:rPr>
          <w:b/>
          <w:bCs/>
        </w:rPr>
        <w:t xml:space="preserve">3.34 million factor observations across 706 variables</w:t>
      </w:r>
      <w:r>
        <w:t xml:space="preserve"> at monthly frequency, with a daily extension adding </w:t>
      </w:r>
      <w:r>
        <w:rPr>
          <w:b/>
          <w:bCs/>
        </w:rPr>
        <w:t xml:space="preserve">58 million rows</w:t>
      </w:r>
      <w:r>
        <w:t xml:space="preserve"> of price, volatility, factor-return, and news-sentiment data. The data spans: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Macro and forecasts — </w:t>
      </w:r>
      <w:r>
        <w:t xml:space="preserve">IMF (CPI, WEO, BOP, rates, FX, trade), OECD (CLI, BCI, CCI), World Bank governance and structural indicators, FRED, ECB FX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Risk and policy — </w:t>
      </w:r>
      <w:r>
        <w:t xml:space="preserve">EPU, GPR, BIS credit and debt-service, OFAC sanctions, ND-GAIN climate vulnerability, UNDP HDI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Market structure — </w:t>
      </w:r>
      <w:r>
        <w:t xml:space="preserve">fragility, public-debt composition, sticky-capital, central-bank footprint, and policy-backstop layer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Bloomberg — </w:t>
      </w:r>
      <w:r>
        <w:t xml:space="preserve">sovereign yield curves (2Y/5Y/10Y/30Y), CDS, breakevens, OIS, WIRP central-bank-implied policy rates, ECFC consensus forecasts, PMI, M2, and the ETF passive-flow family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Alternative data — </w:t>
      </w:r>
      <w:r>
        <w:t xml:space="preserve">GDELT news and sentiment (2,300+ variables), a curated registry of 146 historical events, and Kalshi/Polymarket prediction-market snapshots</w:t>
      </w:r>
    </w:p>
    <w:p>
      <w:pPr>
        <w:pStyle w:val="Heading2"/>
      </w:pPr>
      <w:r>
        <w:t xml:space="preserve">Relationships</w:t>
      </w:r>
    </w:p>
    <w:p>
      <w:pPr>
        <w:spacing w:after="80"/>
      </w:pPr>
      <w:r>
        <w:t xml:space="preserve">The graph layer is what differentiates ASADO from a typical factor library. Every country is connected to the entities that influence its returns, with the network refreshed each monthly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55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Edge 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HAS_FACTOR_EXPOSURE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3,752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Country → Factor latest readings (refreshed each monthly cycle)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TRADES_WITH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1,079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Bilateral merchandise trade pairs from IMF IMTS (&gt;$100M)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HAS_BANKING_EXPOSURE_TO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704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Cross-border banking claims from BIS Locational Statistics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HOLDS_PORTFOLIO_OF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56,786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Bilateral portfolio ownership (IMF CPIS + U.S. TIC)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HAS_CRISIS_HISTORY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Country links to nine curated historical crisis events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EXPORT_EXPOSED_TO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Commodity-export dependence (oil, copper, gold, agriculture)</w:t>
            </w:r>
          </w:p>
        </w:tc>
      </w:tr>
    </w:tbl>
    <w:p>
      <w:pPr>
        <w:spacing w:after="80"/>
      </w:pPr>
      <w:r>
        <w:t xml:space="preserve">Each Country node also carries a </w:t>
      </w:r>
      <w:r>
        <w:rPr>
          <w:b/>
          <w:bCs/>
        </w:rPr>
        <w:t xml:space="preserve">34-dimensional state embedding</w:t>
      </w:r>
      <w:r>
        <w:t xml:space="preserve"> — a PCA compression of its factor profile, indexed for cosine similarity. This enables analog search: identify countries most similar to a target country today and study how each performed in the six to twelve months that followed.</w:t>
      </w:r>
    </w:p>
    <w:p>
      <w:pPr>
        <w:spacing w:after="80"/>
      </w:pPr>
      <w:r>
        <w:rPr>
          <w:b/>
          <w:bCs/>
        </w:rPr>
        <w:t xml:space="preserve">What this enables. </w:t>
      </w:r>
      <w:r>
        <w:t xml:space="preserve">Three capabilities a flat factor panel cannot provide: network-aware risk — how shocks propagate through trade, banking, and portfolio channels; regime and analog search via embedding similarity; and full attribution, since every signal traces back to a named source with versioned backups on every refresh.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 w:before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2026-05-11T15:19:32.681Z</dcterms:created>
  <dcterms:modified xsi:type="dcterms:W3CDTF">2026-05-11T15:19:32.681Z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