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092779eae0ca57705dede95c2ab5939f8b8355"/>
    <w:p>
      <w:pPr>
        <w:pStyle w:val="Heading1"/>
      </w:pPr>
      <w:r>
        <w:t xml:space="preserve">PRIVILEGED &amp; CONFIDENTIAL — ATTORNEY WORK PRODUCT</w:t>
      </w:r>
    </w:p>
    <w:bookmarkEnd w:id="9"/>
    <w:bookmarkStart w:id="58" w:name="due-diligence-red-flag-memorandum"/>
    <w:p>
      <w:pPr>
        <w:pStyle w:val="Heading1"/>
      </w:pPr>
      <w:r>
        <w:t xml:space="preserve">DUE DILIGENCE RED FLAG MEMORANDUM</w:t>
      </w:r>
    </w:p>
    <w:p>
      <w:pPr>
        <w:pStyle w:val="FirstParagraph"/>
      </w:pPr>
      <w:r>
        <w:rPr>
          <w:b/>
          <w:bCs/>
        </w:rPr>
        <w:t xml:space="preserve">Project Ridgeline — Proposed Acquisition of Ridgeline Environmental Services, Inc.</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To:</w:t>
            </w:r>
          </w:p>
        </w:tc>
        <w:tc>
          <w:tcPr/>
          <w:p>
            <w:pPr>
              <w:pStyle w:val="Compact"/>
            </w:pPr>
            <w:r>
              <w:t xml:space="preserve">Deal Team — Sycamore Capital Partners, LP</w:t>
            </w:r>
          </w:p>
        </w:tc>
      </w:tr>
      <w:tr>
        <w:tc>
          <w:tcPr/>
          <w:p>
            <w:pPr>
              <w:pStyle w:val="Compact"/>
            </w:pPr>
            <w:r>
              <w:rPr>
                <w:b/>
                <w:bCs/>
              </w:rPr>
              <w:t xml:space="preserve">From:</w:t>
            </w:r>
          </w:p>
        </w:tc>
        <w:tc>
          <w:tcPr/>
          <w:p>
            <w:pPr>
              <w:pStyle w:val="Compact"/>
            </w:pPr>
            <w:r>
              <w:t xml:space="preserve">Buyer’s Counsel — Transaction Diligence Team</w:t>
            </w:r>
          </w:p>
        </w:tc>
      </w:tr>
      <w:tr>
        <w:tc>
          <w:tcPr/>
          <w:p>
            <w:pPr>
              <w:pStyle w:val="Compact"/>
            </w:pPr>
            <w:r>
              <w:rPr>
                <w:b/>
                <w:bCs/>
              </w:rPr>
              <w:t xml:space="preserve">Re:</w:t>
            </w:r>
          </w:p>
        </w:tc>
        <w:tc>
          <w:tcPr/>
          <w:p>
            <w:pPr>
              <w:pStyle w:val="Compact"/>
            </w:pPr>
            <w:r>
              <w:t xml:space="preserve">Data Room Red Flag Review — Ridgeline Environmental Services, Inc. (</w:t>
            </w:r>
            <w:r>
              <w:t xml:space="preserve">“RES”</w:t>
            </w:r>
            <w:r>
              <w:t xml:space="preserve"> </w:t>
            </w:r>
            <w:r>
              <w:t xml:space="preserve">or the</w:t>
            </w:r>
            <w:r>
              <w:t xml:space="preserve"> </w:t>
            </w:r>
            <w:r>
              <w:t xml:space="preserve">“Company”</w:t>
            </w:r>
            <w:r>
              <w:t xml:space="preserve">)</w:t>
            </w:r>
          </w:p>
        </w:tc>
      </w:tr>
      <w:tr>
        <w:tc>
          <w:tcPr/>
          <w:p>
            <w:pPr>
              <w:pStyle w:val="Compact"/>
            </w:pPr>
            <w:r>
              <w:rPr>
                <w:b/>
                <w:bCs/>
              </w:rPr>
              <w:t xml:space="preserve">Transaction:</w:t>
            </w:r>
          </w:p>
        </w:tc>
        <w:tc>
          <w:tcPr/>
          <w:p>
            <w:pPr>
              <w:pStyle w:val="Compact"/>
            </w:pPr>
            <w:r>
              <w:t xml:space="preserve">Proposed acquisition of 100% of the capital stock of RES from Derek Calloway (32.5%), Jason Calloway (32.5%), and the Calloway Family Trust (35.0%)</w:t>
            </w:r>
          </w:p>
        </w:tc>
      </w:tr>
      <w:tr>
        <w:tc>
          <w:tcPr/>
          <w:p>
            <w:pPr>
              <w:pStyle w:val="Compact"/>
            </w:pPr>
            <w:r>
              <w:rPr>
                <w:b/>
                <w:bCs/>
              </w:rPr>
              <w:t xml:space="preserve">Indicative Enterprise Value:</w:t>
            </w:r>
          </w:p>
        </w:tc>
        <w:tc>
          <w:tcPr/>
          <w:p>
            <w:pPr>
              <w:pStyle w:val="Compact"/>
            </w:pPr>
            <w:r>
              <w:t xml:space="preserve">$182M–$205M (8.0x–9.0x management Adjusted EBITDA of $22.8M per LOI dated October 28, 2024)</w:t>
            </w:r>
          </w:p>
        </w:tc>
      </w:tr>
      <w:tr>
        <w:tc>
          <w:tcPr/>
          <w:p>
            <w:pPr>
              <w:pStyle w:val="Compact"/>
            </w:pPr>
            <w:r>
              <w:rPr>
                <w:b/>
                <w:bCs/>
              </w:rPr>
              <w:t xml:space="preserve">Key Dates:</w:t>
            </w:r>
          </w:p>
        </w:tc>
        <w:tc>
          <w:tcPr/>
          <w:p>
            <w:pPr>
              <w:pStyle w:val="Compact"/>
            </w:pPr>
            <w:r>
              <w:t xml:space="preserve">Target signing February 14, 2025; exclusivity expires February 28, 2025; target closing April 30, 2025</w:t>
            </w:r>
          </w:p>
        </w:tc>
      </w:tr>
      <w:tr>
        <w:tc>
          <w:tcPr/>
          <w:p>
            <w:pPr>
              <w:pStyle w:val="Compact"/>
            </w:pPr>
            <w:r>
              <w:rPr>
                <w:b/>
                <w:bCs/>
              </w:rPr>
              <w:t xml:space="preserve">Documents Reviewed:</w:t>
            </w:r>
          </w:p>
        </w:tc>
        <w:tc>
          <w:tcPr/>
          <w:p>
            <w:pPr>
              <w:pStyle w:val="Compact"/>
            </w:pPr>
            <w:r>
              <w:t xml:space="preserve">13 data room documents (LOI; CIM; litigation/regulatory summary; Phase II ESA executive summary; credit agreement summary; environmental permit schedule; real property/lease schedule; customer contract summary; QoE data request response; employment agreements summary; employee benefits summary; insurance program summary; org chart/equity structure)</w:t>
            </w:r>
          </w:p>
        </w:tc>
      </w:tr>
    </w:tbl>
    <w:p>
      <w:pPr>
        <w:pStyle w:val="BodyText"/>
      </w:pPr>
      <w:r>
        <w:rPr>
          <w:b/>
          <w:bCs/>
        </w:rPr>
        <w:t xml:space="preserve">This memorandum identifies red flags only.</w:t>
      </w:r>
      <w:r>
        <w:t xml:space="preserve"> </w:t>
      </w:r>
      <w:r>
        <w:t xml:space="preserve">It is not a comprehensive summary of the data room, and it assumes the reader’s familiarity with the transaction structure set out in the LOI. Severity ratings:</w:t>
      </w:r>
      <w:r>
        <w:t xml:space="preserve"> </w:t>
      </w:r>
      <w:r>
        <w:rPr>
          <w:b/>
          <w:bCs/>
        </w:rPr>
        <w:t xml:space="preserve">CRITICAL</w:t>
      </w:r>
      <w:r>
        <w:t xml:space="preserve"> </w:t>
      </w:r>
      <w:r>
        <w:t xml:space="preserve">(potential deal re-price/re-structure or closing impediment),</w:t>
      </w:r>
      <w:r>
        <w:t xml:space="preserve"> </w:t>
      </w:r>
      <w:r>
        <w:rPr>
          <w:b/>
          <w:bCs/>
        </w:rPr>
        <w:t xml:space="preserve">HIGH</w:t>
      </w:r>
      <w:r>
        <w:t xml:space="preserve"> </w:t>
      </w:r>
      <w:r>
        <w:t xml:space="preserve">(material exposure or SPA-critical issue),</w:t>
      </w:r>
      <w:r>
        <w:t xml:space="preserve"> </w:t>
      </w:r>
      <w:r>
        <w:rPr>
          <w:b/>
          <w:bCs/>
        </w:rPr>
        <w:t xml:space="preserve">MEDIUM</w:t>
      </w:r>
      <w:r>
        <w:t xml:space="preserve"> </w:t>
      </w:r>
      <w:r>
        <w:t xml:space="preserve">(requires resolution or specific SPA protection). A companion Excel tracker (</w:t>
      </w:r>
      <w:r>
        <w:rPr>
          <w:rStyle w:val="VerbatimChar"/>
        </w:rPr>
        <w:t xml:space="preserve">red-flag-tracker.xlsx</w:t>
      </w:r>
      <w:r>
        <w:t xml:space="preserve">) catalogues each issue with source references, quantification, and recommended actions.</w:t>
      </w:r>
    </w:p>
    <w:p>
      <w:r>
        <w:pict>
          <v:rect style="width:0;height:1.5pt" o:hralign="center" o:hrstd="t" o:hr="t"/>
        </w:pict>
      </w:r>
    </w:p>
    <w:bookmarkStart w:id="10" w:name="i.-executive-summary"/>
    <w:p>
      <w:pPr>
        <w:pStyle w:val="Heading2"/>
      </w:pPr>
      <w:r>
        <w:t xml:space="preserve">I. EXECUTIVE SUMMARY</w:t>
      </w:r>
    </w:p>
    <w:p>
      <w:pPr>
        <w:pStyle w:val="FirstParagraph"/>
      </w:pPr>
      <w:r>
        <w:t xml:space="preserve">The data room reveals a pattern of issues falling into three broad groups:</w:t>
      </w:r>
    </w:p>
    <w:p>
      <w:pPr>
        <w:pStyle w:val="BodyText"/>
      </w:pPr>
      <w:r>
        <w:rPr>
          <w:b/>
          <w:bCs/>
        </w:rPr>
        <w:t xml:space="preserve">1. The earnings base supporting the $182M–$205M valuation is unreliable.</w:t>
      </w:r>
      <w:r>
        <w:t xml:space="preserve"> </w:t>
      </w:r>
      <w:r>
        <w:t xml:space="preserve">The single most important finding of this review is that the Company’s EBITDA presentation is internally inconsistent and, in at least one instance, contradicted by the Company’s own litigation disclosures. Management’s</w:t>
      </w:r>
      <w:r>
        <w:t xml:space="preserve"> </w:t>
      </w:r>
      <w:r>
        <w:t xml:space="preserve">“reported EBITDA”</w:t>
      </w:r>
      <w:r>
        <w:t xml:space="preserve"> </w:t>
      </w:r>
      <w:r>
        <w:t xml:space="preserve">of $18.4M for FY2024 appears to equal operating income (EBIT), while the Company’s own P&amp;L arithmetic produces reported EBITDA of $26.0M — and the FY2022/FY2023 comparatives on the EBITDA bridge are computed on the other basis, obscuring what is in fact a</w:t>
      </w:r>
      <w:r>
        <w:t xml:space="preserve"> </w:t>
      </w:r>
      <w:r>
        <w:rPr>
          <w:b/>
          <w:bCs/>
        </w:rPr>
        <w:t xml:space="preserve">27% year-over-year decline in reported EBITDA</w:t>
      </w:r>
      <w:r>
        <w:t xml:space="preserve"> </w:t>
      </w:r>
      <w:r>
        <w:t xml:space="preserve">(FY2023: $25.2M → FY2024: $18.4M as presented). The detailed adjustment schedule produces Adjusted EBITDA of</w:t>
      </w:r>
      <w:r>
        <w:t xml:space="preserve"> </w:t>
      </w:r>
      <w:r>
        <w:rPr>
          <w:b/>
          <w:bCs/>
        </w:rPr>
        <w:t xml:space="preserve">$23.8M</w:t>
      </w:r>
      <w:r>
        <w:t xml:space="preserve">, not the</w:t>
      </w:r>
      <w:r>
        <w:t xml:space="preserve"> </w:t>
      </w:r>
      <w:r>
        <w:rPr>
          <w:b/>
          <w:bCs/>
        </w:rPr>
        <w:t xml:space="preserve">$22.8M</w:t>
      </w:r>
      <w:r>
        <w:t xml:space="preserve"> </w:t>
      </w:r>
      <w:r>
        <w:t xml:space="preserve">in the CIM and LOI — an unexplained $1.0M gap management has acknowledged but not reconciled. The largest single add-back (the $1.2M</w:t>
      </w:r>
      <w:r>
        <w:t xml:space="preserve"> </w:t>
      </w:r>
      <w:r>
        <w:t xml:space="preserve">“litigation settlement”</w:t>
      </w:r>
      <w:r>
        <w:t xml:space="preserve">) is described three different, mutually exclusive ways across three documents — including as a settlement</w:t>
      </w:r>
      <w:r>
        <w:t xml:space="preserve"> </w:t>
      </w:r>
      <w:r>
        <w:rPr>
          <w:i/>
          <w:iCs/>
        </w:rPr>
        <w:t xml:space="preserve">receipt</w:t>
      </w:r>
      <w:r>
        <w:t xml:space="preserve"> </w:t>
      </w:r>
      <w:r>
        <w:t xml:space="preserve">(which would require a</w:t>
      </w:r>
      <w:r>
        <w:t xml:space="preserve"> </w:t>
      </w:r>
      <w:r>
        <w:rPr>
          <w:i/>
          <w:iCs/>
        </w:rPr>
        <w:t xml:space="preserve">downward</w:t>
      </w:r>
      <w:r>
        <w:t xml:space="preserve"> </w:t>
      </w:r>
      <w:r>
        <w:t xml:space="preserve">adjustment, a potential $2.4M swing). Under the bank’s credit-agreement definition, EBITDA is only</w:t>
      </w:r>
      <w:r>
        <w:t xml:space="preserve"> </w:t>
      </w:r>
      <w:r>
        <w:rPr>
          <w:b/>
          <w:bCs/>
        </w:rPr>
        <w:t xml:space="preserve">$18.4M</w:t>
      </w:r>
      <w:r>
        <w:t xml:space="preserve">; at the LOI’s 8.0x–9.0x multiple range, every $1M of disallowed add-back is worth $8M–$9M of enterprise value. If the QoE lands near the bank definition, the implied valuation gap is roughly</w:t>
      </w:r>
      <w:r>
        <w:t xml:space="preserve"> </w:t>
      </w:r>
      <w:r>
        <w:rPr>
          <w:b/>
          <w:bCs/>
        </w:rPr>
        <w:t xml:space="preserve">$35M–$50M</w:t>
      </w:r>
      <w:r>
        <w:t xml:space="preserve">.</w:t>
      </w:r>
    </w:p>
    <w:p>
      <w:pPr>
        <w:pStyle w:val="BodyText"/>
      </w:pPr>
      <w:r>
        <w:rPr>
          <w:b/>
          <w:bCs/>
        </w:rPr>
        <w:t xml:space="preserve">2. Revenue durability is materially weaker than presented.</w:t>
      </w:r>
      <w:r>
        <w:t xml:space="preserve"> </w:t>
      </w:r>
      <w:r>
        <w:t xml:space="preserve">The DOE IDIQ contract (19.2% of revenue; $24.4M TTM) has only</w:t>
      </w:r>
      <w:r>
        <w:t xml:space="preserve"> </w:t>
      </w:r>
      <w:r>
        <w:rPr>
          <w:b/>
          <w:bCs/>
        </w:rPr>
        <w:t xml:space="preserve">$12.3M of ceiling remaining</w:t>
      </w:r>
      <w:r>
        <w:t xml:space="preserve">, projected by the Company’s own analysis to exhaust in</w:t>
      </w:r>
      <w:r>
        <w:t xml:space="preserve"> </w:t>
      </w:r>
      <w:r>
        <w:rPr>
          <w:b/>
          <w:bCs/>
        </w:rPr>
        <w:t xml:space="preserve">April–May 2025 — the target closing window</w:t>
      </w:r>
      <w:r>
        <w:t xml:space="preserve"> </w:t>
      </w:r>
      <w:r>
        <w:t xml:space="preserve">— creating a disclosed</w:t>
      </w:r>
      <w:r>
        <w:t xml:space="preserve"> </w:t>
      </w:r>
      <w:r>
        <w:rPr>
          <w:b/>
          <w:bCs/>
        </w:rPr>
        <w:t xml:space="preserve">~$12.1M FY2025 revenue headwind</w:t>
      </w:r>
      <w:r>
        <w:t xml:space="preserve"> </w:t>
      </w:r>
      <w:r>
        <w:t xml:space="preserve">that is nowhere reflected in the CIM’s growth narrative. The DOE contract also carries a 30-day change-of-ownership notification requirement (Clause H-12) with termination-for-default as the stated consequence of non-compliance. Separately — and alarmingly — the two customer schedules in the data room contain</w:t>
      </w:r>
      <w:r>
        <w:t xml:space="preserve"> </w:t>
      </w:r>
      <w:r>
        <w:rPr>
          <w:b/>
          <w:bCs/>
        </w:rPr>
        <w:t xml:space="preserve">irreconcilably different top-20 customer lists</w:t>
      </w:r>
      <w:r>
        <w:t xml:space="preserve"> </w:t>
      </w:r>
      <w:r>
        <w:t xml:space="preserve">(only DOE and Consolidated Mining appear on both). At least one of these documents is wrong.</w:t>
      </w:r>
    </w:p>
    <w:p>
      <w:pPr>
        <w:pStyle w:val="BodyText"/>
      </w:pPr>
      <w:r>
        <w:rPr>
          <w:b/>
          <w:bCs/>
        </w:rPr>
        <w:t xml:space="preserve">3. Structural closing impediments and uninsured legacy liabilities.</w:t>
      </w:r>
      <w:r>
        <w:t xml:space="preserve"> </w:t>
      </w:r>
      <w:r>
        <w:t xml:space="preserve">Closing triggers mandatory prepayment of ~$39.2M of secured debt within five business days (no consent/waiver mechanism exists); the Salt Lake City transfer station — supporting ~$16.2M of annual revenue — sits on an unconsented lease assignment</w:t>
      </w:r>
      <w:r>
        <w:t xml:space="preserve"> </w:t>
      </w:r>
      <w:r>
        <w:rPr>
          <w:i/>
          <w:iCs/>
        </w:rPr>
        <w:t xml:space="preserve">and</w:t>
      </w:r>
      <w:r>
        <w:t xml:space="preserve"> </w:t>
      </w:r>
      <w:r>
        <w:t xml:space="preserve">a hazardous waste permit still held by a subsidiary the Company’s own org chart describes as</w:t>
      </w:r>
      <w:r>
        <w:t xml:space="preserve"> </w:t>
      </w:r>
      <w:r>
        <w:rPr>
          <w:b/>
          <w:bCs/>
        </w:rPr>
        <w:t xml:space="preserve">dormant</w:t>
      </w:r>
      <w:r>
        <w:t xml:space="preserve">; the Wyoming (Casper) permit has</w:t>
      </w:r>
      <w:r>
        <w:t xml:space="preserve"> </w:t>
      </w:r>
      <w:r>
        <w:rPr>
          <w:b/>
          <w:bCs/>
        </w:rPr>
        <w:t xml:space="preserve">expired</w:t>
      </w:r>
      <w:r>
        <w:t xml:space="preserve"> </w:t>
      </w:r>
      <w:r>
        <w:t xml:space="preserve">and operates on timely-renewal grace; a</w:t>
      </w:r>
      <w:r>
        <w:t xml:space="preserve"> </w:t>
      </w:r>
      <w:r>
        <w:rPr>
          <w:b/>
          <w:bCs/>
        </w:rPr>
        <w:t xml:space="preserve">union election petition</w:t>
      </w:r>
      <w:r>
        <w:t xml:space="preserve"> </w:t>
      </w:r>
      <w:r>
        <w:t xml:space="preserve">filed November 4, 2024 covering 62 field technicians is disclosed only in a footnote and directly contradicts the CIM’s</w:t>
      </w:r>
      <w:r>
        <w:t xml:space="preserve"> </w:t>
      </w:r>
      <w:r>
        <w:t xml:space="preserve">“entirely non-unionized”</w:t>
      </w:r>
      <w:r>
        <w:t xml:space="preserve"> </w:t>
      </w:r>
      <w:r>
        <w:t xml:space="preserve">representation; the Grand Junction property carries legacy soil/groundwater contamination that is</w:t>
      </w:r>
      <w:r>
        <w:t xml:space="preserve"> </w:t>
      </w:r>
      <w:r>
        <w:rPr>
          <w:b/>
          <w:bCs/>
        </w:rPr>
        <w:t xml:space="preserve">expressly uninsured</w:t>
      </w:r>
      <w:r>
        <w:t xml:space="preserve"> </w:t>
      </w:r>
      <w:r>
        <w:t xml:space="preserve">(gradual-release exclusion), costed only in stale 2019 dollars, and excludes vapor-intrusion and off-site exposure; and the discontinued asbestos abatement line has</w:t>
      </w:r>
      <w:r>
        <w:t xml:space="preserve"> </w:t>
      </w:r>
      <w:r>
        <w:rPr>
          <w:b/>
          <w:bCs/>
        </w:rPr>
        <w:t xml:space="preserve">no insurance coverage at all</w:t>
      </w:r>
      <w:r>
        <w:t xml:space="preserve"> </w:t>
      </w:r>
      <w:r>
        <w:t xml:space="preserve">(blanket CGL exclusion; no tail purchased) despite two open workers’ compensation claims alleging respiratory exposure — claims whose existence contradicts the litigation summary’s statement that no asbestos claims have been asserted.</w:t>
      </w:r>
    </w:p>
    <w:p>
      <w:pPr>
        <w:pStyle w:val="BodyText"/>
      </w:pPr>
      <w:r>
        <w:t xml:space="preserve">Aggregate identified/quantifiable exposures (excluding valuation impact) include: debt payoff ~$39.2M (funded at closing); change-of-control severance up to $3.775M (and possibly ~$4.65M on one reading of the Calloway agreements); CDPHE penalty $0.2M–$1.16M (unaccrued); Ramirez litigation $0.5M–$4.8M (coverage uncertain); wage claims ~$0.33M; remediation $1.8M–$2.6M in 2019 dollars plus unquantified vapor-intrusion/off-site risk against a $2.2M accrual; deferred fleet replacement backlog ~$9.8M; and a ~$12.1M annual DOE revenue cliff.</w:t>
      </w:r>
    </w:p>
    <w:p>
      <w:pPr>
        <w:pStyle w:val="BodyText"/>
      </w:pPr>
      <w:r>
        <w:rPr>
          <w:b/>
          <w:bCs/>
        </w:rPr>
        <w:t xml:space="preserve">Recommendation:</w:t>
      </w:r>
      <w:r>
        <w:t xml:space="preserve"> </w:t>
      </w:r>
      <w:r>
        <w:t xml:space="preserve">Do not proceed to signing at the current valuation until (i) the QoE resolves the EBITDA presentation and the customer-data conflict, (ii) an updated Phase II ESA and vapor-intrusion assessment are commissioned, and (iii) the consent/permit path for SLC, Casper, and the DOE contract is mapped. The SPA should include the specific protections in Section XIII of this memorandum, including special escrows beyond the 10% general holdback.</w:t>
      </w:r>
    </w:p>
    <w:p>
      <w:r>
        <w:pict>
          <v:rect style="width:0;height:1.5pt" o:hralign="center" o:hrstd="t" o:hr="t"/>
        </w:pict>
      </w:r>
    </w:p>
    <w:bookmarkEnd w:id="10"/>
    <w:bookmarkStart w:id="18" w:name="X59cfcd553f6657b8a6b60b470b5bf36b9e4aecd"/>
    <w:p>
      <w:pPr>
        <w:pStyle w:val="Heading2"/>
      </w:pPr>
      <w:r>
        <w:t xml:space="preserve">II. FINANCIAL / QUALITY OF EARNINGS RED FLAGS</w:t>
      </w:r>
    </w:p>
    <w:bookmarkStart w:id="11" w:name="Xe85ba6f6d52f376eaedb21c7ee79059b6d7c1c1"/>
    <w:p>
      <w:pPr>
        <w:pStyle w:val="Heading3"/>
      </w:pPr>
      <w:r>
        <w:t xml:space="preserve">RF-01. EBITDA presentation is internally inconsistent; the valuation metric is unverified —</w:t>
      </w:r>
      <w:r>
        <w:t xml:space="preserve"> </w:t>
      </w:r>
      <w:r>
        <w:rPr>
          <w:b/>
          <w:bCs/>
        </w:rPr>
        <w:t xml:space="preserve">CRITICAL</w:t>
      </w:r>
    </w:p>
    <w:p>
      <w:pPr>
        <w:pStyle w:val="Compact"/>
        <w:numPr>
          <w:ilvl w:val="0"/>
          <w:numId w:val="1001"/>
        </w:numPr>
      </w:pPr>
      <w:r>
        <w:t xml:space="preserve">The QoE data package (Historical P&amp;L tab) shows FY2024 operating income (EBIT) of $18.4M and D&amp;A of $7.6M, which arithmetically yields EBITDA of</w:t>
      </w:r>
      <w:r>
        <w:t xml:space="preserve"> </w:t>
      </w:r>
      <w:r>
        <w:rPr>
          <w:b/>
          <w:bCs/>
        </w:rPr>
        <w:t xml:space="preserve">$26.0M</w:t>
      </w:r>
      <w:r>
        <w:t xml:space="preserve">. Yet management presents</w:t>
      </w:r>
      <w:r>
        <w:t xml:space="preserve"> </w:t>
      </w:r>
      <w:r>
        <w:t xml:space="preserve">“Reported EBITDA”</w:t>
      </w:r>
      <w:r>
        <w:t xml:space="preserve"> </w:t>
      </w:r>
      <w:r>
        <w:t xml:space="preserve">of</w:t>
      </w:r>
      <w:r>
        <w:t xml:space="preserve"> </w:t>
      </w:r>
      <w:r>
        <w:rPr>
          <w:b/>
          <w:bCs/>
        </w:rPr>
        <w:t xml:space="preserve">$18.4M</w:t>
      </w:r>
      <w:r>
        <w:t xml:space="preserve"> </w:t>
      </w:r>
      <w:r>
        <w:t xml:space="preserve">— i.e., the EBIT figure — as the starting point of the EBITDA bridge. The P&amp;L tab itself concedes:</w:t>
      </w:r>
      <w:r>
        <w:t xml:space="preserve"> </w:t>
      </w:r>
      <w:r>
        <w:t xml:space="preserve">“Management presents EBITDA excluding D&amp;A add-back differently.”</w:t>
      </w:r>
    </w:p>
    <w:p>
      <w:pPr>
        <w:pStyle w:val="Compact"/>
        <w:numPr>
          <w:ilvl w:val="0"/>
          <w:numId w:val="1001"/>
        </w:numPr>
      </w:pPr>
      <w:r>
        <w:t xml:space="preserve">The bridge’s comparative years use the</w:t>
      </w:r>
      <w:r>
        <w:t xml:space="preserve"> </w:t>
      </w:r>
      <w:r>
        <w:rPr>
          <w:i/>
          <w:iCs/>
        </w:rPr>
        <w:t xml:space="preserve">other</w:t>
      </w:r>
      <w:r>
        <w:t xml:space="preserve"> </w:t>
      </w:r>
      <w:r>
        <w:t xml:space="preserve">convention (FY2022: $21.0M; FY2023: $25.2M = EBIT + D&amp;A). On a consistent basis, reported EBITDA</w:t>
      </w:r>
      <w:r>
        <w:t xml:space="preserve"> </w:t>
      </w:r>
      <w:r>
        <w:rPr>
          <w:b/>
          <w:bCs/>
        </w:rPr>
        <w:t xml:space="preserve">declined ~27% in FY2024</w:t>
      </w:r>
      <w:r>
        <w:t xml:space="preserve"> </w:t>
      </w:r>
      <w:r>
        <w:t xml:space="preserve">— a fact absent from the CIM, which shows EBITDA for FY2024 only and presents an uninterrupted growth story.</w:t>
      </w:r>
    </w:p>
    <w:p>
      <w:pPr>
        <w:pStyle w:val="Compact"/>
        <w:numPr>
          <w:ilvl w:val="0"/>
          <w:numId w:val="1001"/>
        </w:numPr>
      </w:pPr>
      <w:r>
        <w:t xml:space="preserve">The adjustment schedule totals</w:t>
      </w:r>
      <w:r>
        <w:t xml:space="preserve"> </w:t>
      </w:r>
      <w:r>
        <w:rPr>
          <w:b/>
          <w:bCs/>
        </w:rPr>
        <w:t xml:space="preserve">$5.4M</w:t>
      </w:r>
      <w:r>
        <w:t xml:space="preserve"> </w:t>
      </w:r>
      <w:r>
        <w:t xml:space="preserve">of add-backs producing Adjusted EBITDA of</w:t>
      </w:r>
      <w:r>
        <w:t xml:space="preserve"> </w:t>
      </w:r>
      <w:r>
        <w:rPr>
          <w:b/>
          <w:bCs/>
        </w:rPr>
        <w:t xml:space="preserve">$23.8M</w:t>
      </w:r>
      <w:r>
        <w:t xml:space="preserve">; the CIM and LOI use</w:t>
      </w:r>
      <w:r>
        <w:t xml:space="preserve"> </w:t>
      </w:r>
      <w:r>
        <w:rPr>
          <w:b/>
          <w:bCs/>
        </w:rPr>
        <w:t xml:space="preserve">$22.8M</w:t>
      </w:r>
      <w:r>
        <w:t xml:space="preserve"> </w:t>
      </w:r>
      <w:r>
        <w:t xml:space="preserve">with</w:t>
      </w:r>
      <w:r>
        <w:t xml:space="preserve"> </w:t>
      </w:r>
      <w:r>
        <w:t xml:space="preserve">“approximately $4.4M”</w:t>
      </w:r>
      <w:r>
        <w:t xml:space="preserve"> </w:t>
      </w:r>
      <w:r>
        <w:t xml:space="preserve">of adjustments. The QoE workbook itself flags the $1.0M discrepancy:</w:t>
      </w:r>
      <w:r>
        <w:t xml:space="preserve"> </w:t>
      </w:r>
      <w:r>
        <w:rPr>
          <w:i/>
          <w:iCs/>
        </w:rPr>
        <w:t xml:space="preserve">“The specific adjustment category causing the discrepancy has not been identified.”</w:t>
      </w:r>
    </w:p>
    <w:p>
      <w:pPr>
        <w:pStyle w:val="Compact"/>
        <w:numPr>
          <w:ilvl w:val="0"/>
          <w:numId w:val="1001"/>
        </w:numPr>
      </w:pPr>
      <w:r>
        <w:rPr>
          <w:b/>
          <w:bCs/>
        </w:rPr>
        <w:t xml:space="preserve">Impact:</w:t>
      </w:r>
      <w:r>
        <w:t xml:space="preserve"> </w:t>
      </w:r>
      <w:r>
        <w:t xml:space="preserve">the entire $182M–$205M valuation rests on a multiple of a number that does not tie to the Company’s own financial detail. At 8.0x–9.0x, each $1M of EBITDA ≈ $8M–$9M of enterprise value.</w:t>
      </w:r>
    </w:p>
    <w:p>
      <w:pPr>
        <w:pStyle w:val="Compact"/>
        <w:numPr>
          <w:ilvl w:val="0"/>
          <w:numId w:val="1001"/>
        </w:numPr>
      </w:pPr>
      <w:r>
        <w:rPr>
          <w:b/>
          <w:bCs/>
        </w:rPr>
        <w:t xml:space="preserve">Action:</w:t>
      </w:r>
      <w:r>
        <w:t xml:space="preserve"> </w:t>
      </w:r>
      <w:r>
        <w:t xml:space="preserve">Bridgewater Forsyth must rebuild EBITDA from the audited trial balance; do not lock economics until reconciled. Preserve LOI Section 3.2 repricing flexibility.</w:t>
      </w:r>
    </w:p>
    <w:bookmarkEnd w:id="11"/>
    <w:bookmarkStart w:id="12" w:name="X58d5d7fd359c51dd49c6747e753d3242d39953c"/>
    <w:p>
      <w:pPr>
        <w:pStyle w:val="Heading3"/>
      </w:pPr>
      <w:r>
        <w:t xml:space="preserve">RF-02. The $1.2M</w:t>
      </w:r>
      <w:r>
        <w:t xml:space="preserve"> </w:t>
      </w:r>
      <w:r>
        <w:t xml:space="preserve">“litigation settlement”</w:t>
      </w:r>
      <w:r>
        <w:t xml:space="preserve"> </w:t>
      </w:r>
      <w:r>
        <w:t xml:space="preserve">add-back is contradicted three ways —</w:t>
      </w:r>
      <w:r>
        <w:t xml:space="preserve"> </w:t>
      </w:r>
      <w:r>
        <w:rPr>
          <w:b/>
          <w:bCs/>
        </w:rPr>
        <w:t xml:space="preserve">CRITICAL</w:t>
      </w:r>
    </w:p>
    <w:p>
      <w:pPr>
        <w:pStyle w:val="FirstParagraph"/>
      </w:pPr>
      <w:r>
        <w:t xml:space="preserve">Three documents give three mutually exclusive accounts of the largest discrete FY2024 add-back:</w:t>
      </w:r>
    </w:p>
    <w:p>
      <w:pPr>
        <w:pStyle w:val="Compact"/>
        <w:numPr>
          <w:ilvl w:val="0"/>
          <w:numId w:val="1002"/>
        </w:numPr>
      </w:pPr>
      <w:r>
        <w:rPr>
          <w:b/>
          <w:bCs/>
        </w:rPr>
        <w:t xml:space="preserve">CIM (§VI.B):</w:t>
      </w:r>
      <w:r>
        <w:t xml:space="preserve"> </w:t>
      </w:r>
      <w:r>
        <w:t xml:space="preserve">a one-time litigation settlement</w:t>
      </w:r>
      <w:r>
        <w:t xml:space="preserve"> </w:t>
      </w:r>
      <w:r>
        <w:rPr>
          <w:i/>
          <w:iCs/>
        </w:rPr>
        <w:t xml:space="preserve">cost incurred</w:t>
      </w:r>
      <w:r>
        <w:t xml:space="preserve"> </w:t>
      </w:r>
      <w:r>
        <w:t xml:space="preserve">by the Company in FY2024.</w:t>
      </w:r>
    </w:p>
    <w:p>
      <w:pPr>
        <w:pStyle w:val="Compact"/>
        <w:numPr>
          <w:ilvl w:val="0"/>
          <w:numId w:val="1002"/>
        </w:numPr>
      </w:pPr>
      <w:r>
        <w:rPr>
          <w:b/>
          <w:bCs/>
        </w:rPr>
        <w:t xml:space="preserve">Litigation &amp; Regulatory Summary (§IV.A):</w:t>
      </w:r>
      <w:r>
        <w:t xml:space="preserve"> </w:t>
      </w:r>
      <w:r>
        <w:t xml:space="preserve">the $1.2M referenced in the EBITDA adjustment schedule is the</w:t>
      </w:r>
      <w:r>
        <w:t xml:space="preserve"> </w:t>
      </w:r>
      <w:r>
        <w:rPr>
          <w:b/>
          <w:bCs/>
        </w:rPr>
        <w:t xml:space="preserve">Clearwater Logistics settlement — a payment RES</w:t>
      </w:r>
      <w:r>
        <w:rPr>
          <w:b/>
          <w:bCs/>
        </w:rPr>
        <w:t xml:space="preserve"> </w:t>
      </w:r>
      <w:r>
        <w:rPr>
          <w:b/>
          <w:bCs/>
          <w:i/>
          <w:iCs/>
        </w:rPr>
        <w:t xml:space="preserve">received</w:t>
      </w:r>
      <w:r>
        <w:t xml:space="preserve"> </w:t>
      </w:r>
      <w:r>
        <w:t xml:space="preserve">in April 2024 (i.e., non-recurring</w:t>
      </w:r>
      <w:r>
        <w:t xml:space="preserve"> </w:t>
      </w:r>
      <w:r>
        <w:rPr>
          <w:i/>
          <w:iCs/>
        </w:rPr>
        <w:t xml:space="preserve">income</w:t>
      </w:r>
      <w:r>
        <w:t xml:space="preserve">). If true, the proper QoE treatment is a $1.2M</w:t>
      </w:r>
      <w:r>
        <w:t xml:space="preserve"> </w:t>
      </w:r>
      <w:r>
        <w:rPr>
          <w:i/>
          <w:iCs/>
        </w:rPr>
        <w:t xml:space="preserve">deduction</w:t>
      </w:r>
      <w:r>
        <w:t xml:space="preserve"> </w:t>
      </w:r>
      <w:r>
        <w:t xml:space="preserve">from EBITDA, not an add-back — a potential</w:t>
      </w:r>
      <w:r>
        <w:t xml:space="preserve"> </w:t>
      </w:r>
      <w:r>
        <w:rPr>
          <w:b/>
          <w:bCs/>
        </w:rPr>
        <w:t xml:space="preserve">$2.4M swing</w:t>
      </w:r>
      <w:r>
        <w:t xml:space="preserve"> </w:t>
      </w:r>
      <w:r>
        <w:t xml:space="preserve">($9.6M–$21.6M of enterprise value at the LOI multiples).</w:t>
      </w:r>
    </w:p>
    <w:p>
      <w:pPr>
        <w:pStyle w:val="Compact"/>
        <w:numPr>
          <w:ilvl w:val="0"/>
          <w:numId w:val="1002"/>
        </w:numPr>
      </w:pPr>
      <w:r>
        <w:rPr>
          <w:b/>
          <w:bCs/>
        </w:rPr>
        <w:t xml:space="preserve">QoE workbook (EBITDA Bridge tab):</w:t>
      </w:r>
      <w:r>
        <w:t xml:space="preserve"> </w:t>
      </w:r>
      <w:r>
        <w:t xml:space="preserve">a $1.2M settlement</w:t>
      </w:r>
      <w:r>
        <w:t xml:space="preserve"> </w:t>
      </w:r>
      <w:r>
        <w:rPr>
          <w:b/>
          <w:bCs/>
        </w:rPr>
        <w:t xml:space="preserve">paid</w:t>
      </w:r>
      <w:r>
        <w:t xml:space="preserve"> </w:t>
      </w:r>
      <w:r>
        <w:t xml:space="preserve">to</w:t>
      </w:r>
      <w:r>
        <w:t xml:space="preserve"> </w:t>
      </w:r>
      <w:r>
        <w:rPr>
          <w:i/>
          <w:iCs/>
        </w:rPr>
        <w:t xml:space="preserve">Harper Environmental</w:t>
      </w:r>
      <w:r>
        <w:t xml:space="preserve"> </w:t>
      </w:r>
      <w:r>
        <w:t xml:space="preserve">in Q3 FY2024 under Mesa County Case No. 2023-CV-1847 — but the Litigation Summary (dated December 12, 2024) states the Harper case is</w:t>
      </w:r>
      <w:r>
        <w:t xml:space="preserve"> </w:t>
      </w:r>
      <w:r>
        <w:rPr>
          <w:b/>
          <w:bCs/>
        </w:rPr>
        <w:t xml:space="preserve">still pending</w:t>
      </w:r>
      <w:r>
        <w:t xml:space="preserve">, in discovery, with mediation scheduled for February 2025, and describes RES as the</w:t>
      </w:r>
      <w:r>
        <w:t xml:space="preserve"> </w:t>
      </w:r>
      <w:r>
        <w:rPr>
          <w:i/>
          <w:iCs/>
        </w:rPr>
        <w:t xml:space="preserve">plaintiff</w:t>
      </w:r>
      <w:r>
        <w:t xml:space="preserve"> </w:t>
      </w:r>
      <w:r>
        <w:t xml:space="preserve">seeking $2.1M. The QoE description also inverts the claim (describing Harper as claimant on an exclusivity clause).</w:t>
      </w:r>
    </w:p>
    <w:p>
      <w:pPr>
        <w:pStyle w:val="FirstParagraph"/>
      </w:pPr>
      <w:r>
        <w:rPr>
          <w:b/>
          <w:bCs/>
        </w:rPr>
        <w:t xml:space="preserve">Action:</w:t>
      </w:r>
      <w:r>
        <w:t xml:space="preserve"> </w:t>
      </w:r>
      <w:r>
        <w:t xml:space="preserve">demand the underlying settlement agreement(s), bank records, and general ledger detail. This is both a QoE issue and a disclosure-reliability issue bearing on fraud/indemnity architecture.</w:t>
      </w:r>
    </w:p>
    <w:bookmarkEnd w:id="12"/>
    <w:bookmarkStart w:id="13" w:name="Xa95b183b5d2bd0bcb16ae9d144a88ce6c64222e"/>
    <w:p>
      <w:pPr>
        <w:pStyle w:val="Heading3"/>
      </w:pPr>
      <w:r>
        <w:t xml:space="preserve">RF-03. Bank-defined EBITDA is $18.4M; $5.4M of management add-backs are expressly disallowed —</w:t>
      </w:r>
      <w:r>
        <w:t xml:space="preserve"> </w:t>
      </w:r>
      <w:r>
        <w:rPr>
          <w:b/>
          <w:bCs/>
        </w:rPr>
        <w:t xml:space="preserve">CRITICAL</w:t>
      </w:r>
    </w:p>
    <w:p>
      <w:pPr>
        <w:pStyle w:val="Compact"/>
        <w:numPr>
          <w:ilvl w:val="0"/>
          <w:numId w:val="1003"/>
        </w:numPr>
      </w:pPr>
      <w:r>
        <w:t xml:space="preserve">The High Plains credit agreement defines Consolidated EBITDA to exclude precisely the categories management adds back: owner-comp normalization, discontinued-operations/wind-down costs, restructuring adjustments, and non-GAAP items; only $500K/year of extraordinary charges qualifies. Bank EBITDA:</w:t>
      </w:r>
      <w:r>
        <w:t xml:space="preserve"> </w:t>
      </w:r>
      <w:r>
        <w:rPr>
          <w:b/>
          <w:bCs/>
        </w:rPr>
        <w:t xml:space="preserve">~$18.4M</w:t>
      </w:r>
      <w:r>
        <w:t xml:space="preserve">; leverage tested at 2.10x on that basis.</w:t>
      </w:r>
    </w:p>
    <w:p>
      <w:pPr>
        <w:pStyle w:val="Compact"/>
        <w:numPr>
          <w:ilvl w:val="0"/>
          <w:numId w:val="1003"/>
        </w:numPr>
      </w:pPr>
      <w:r>
        <w:t xml:space="preserve">A third-party lender to the buyout will likely underwrite closer to the bank definition than to management’s $22.8M/$23.8M. At 8.5x, the difference between $18.4M and $22.8M is</w:t>
      </w:r>
      <w:r>
        <w:t xml:space="preserve"> </w:t>
      </w:r>
      <w:r>
        <w:rPr>
          <w:b/>
          <w:bCs/>
        </w:rPr>
        <w:t xml:space="preserve">~$37M of enterprise value</w:t>
      </w:r>
      <w:r>
        <w:t xml:space="preserve">.</w:t>
      </w:r>
    </w:p>
    <w:p>
      <w:pPr>
        <w:pStyle w:val="Compact"/>
        <w:numPr>
          <w:ilvl w:val="0"/>
          <w:numId w:val="1003"/>
        </w:numPr>
      </w:pPr>
      <w:r>
        <w:rPr>
          <w:b/>
          <w:bCs/>
        </w:rPr>
        <w:t xml:space="preserve">Action:</w:t>
      </w:r>
      <w:r>
        <w:t xml:space="preserve"> </w:t>
      </w:r>
      <w:r>
        <w:t xml:space="preserve">treat the credit-agreement definition as the anchor for debt capacity modeling; pressure-test every add-back (see RF-04–RF-06).</w:t>
      </w:r>
    </w:p>
    <w:bookmarkEnd w:id="13"/>
    <w:bookmarkStart w:id="14" w:name="X3e5370a15abc16c19e4b170d43ea698c961aa46"/>
    <w:p>
      <w:pPr>
        <w:pStyle w:val="Heading3"/>
      </w:pPr>
      <w:r>
        <w:t xml:space="preserve">RF-04. Individual add-backs are aggressive or demonstrably recurring —</w:t>
      </w:r>
      <w:r>
        <w:t xml:space="preserve"> </w:t>
      </w:r>
      <w:r>
        <w:rPr>
          <w:b/>
          <w:bCs/>
        </w:rPr>
        <w:t xml:space="preserve">HIGH</w:t>
      </w:r>
    </w:p>
    <w:p>
      <w:pPr>
        <w:pStyle w:val="Compact"/>
        <w:numPr>
          <w:ilvl w:val="0"/>
          <w:numId w:val="1004"/>
        </w:numPr>
      </w:pPr>
      <w:r>
        <w:rPr>
          <w:b/>
          <w:bCs/>
        </w:rPr>
        <w:t xml:space="preserve">Owner compensation normalization ($950K/yr):</w:t>
      </w:r>
      <w:r>
        <w:t xml:space="preserve"> </w:t>
      </w:r>
      <w:r>
        <w:t xml:space="preserve">computed off base salaries only ($875K × 2 → $400K × 2), but FY2024 actual total owner compensation was ~$2.19M including bonuses; the add-back is claimed identically in FY2022–FY2024. The Calloways’ evergreen employment agreements remain at $875K base — the</w:t>
      </w:r>
      <w:r>
        <w:t xml:space="preserve"> </w:t>
      </w:r>
      <w:r>
        <w:t xml:space="preserve">“market rate”</w:t>
      </w:r>
      <w:r>
        <w:t xml:space="preserve"> </w:t>
      </w:r>
      <w:r>
        <w:t xml:space="preserve">replacement cost is hypothetical unless the buyer renegotiates their contracts at closing.</w:t>
      </w:r>
    </w:p>
    <w:p>
      <w:pPr>
        <w:pStyle w:val="Compact"/>
        <w:numPr>
          <w:ilvl w:val="0"/>
          <w:numId w:val="1004"/>
        </w:numPr>
      </w:pPr>
      <w:r>
        <w:rPr>
          <w:b/>
          <w:bCs/>
        </w:rPr>
        <w:t xml:space="preserve">ERP implementation ($650K, plus $385K in FY2023):</w:t>
      </w:r>
      <w:r>
        <w:t xml:space="preserve"> </w:t>
      </w:r>
      <w:r>
        <w:t xml:space="preserve">the CIM states the system is</w:t>
      </w:r>
      <w:r>
        <w:t xml:space="preserve"> </w:t>
      </w:r>
      <w:r>
        <w:t xml:space="preserve">“fully operational and no further implementation expenditures are anticipated,”</w:t>
      </w:r>
      <w:r>
        <w:t xml:space="preserve"> </w:t>
      </w:r>
      <w:r>
        <w:t xml:space="preserve">but the QoE workbook states</w:t>
      </w:r>
      <w:r>
        <w:t xml:space="preserve"> </w:t>
      </w:r>
      <w:r>
        <w:rPr>
          <w:b/>
          <w:bCs/>
        </w:rPr>
        <w:t xml:space="preserve">Phase 2 is not expected to be complete until Q2 FY2025</w:t>
      </w:r>
      <w:r>
        <w:t xml:space="preserve">. The cost is continuing, not one-time. (Note also that RidgeTrack development is simultaneously</w:t>
      </w:r>
      <w:r>
        <w:t xml:space="preserve"> </w:t>
      </w:r>
      <w:r>
        <w:rPr>
          <w:i/>
          <w:iCs/>
        </w:rPr>
        <w:t xml:space="preserve">capitalized</w:t>
      </w:r>
      <w:r>
        <w:t xml:space="preserve"> </w:t>
      </w:r>
      <w:r>
        <w:t xml:space="preserve">in growth capex — $2.3M over five years — warranting a capitalization-policy review.)</w:t>
      </w:r>
    </w:p>
    <w:p>
      <w:pPr>
        <w:pStyle w:val="Compact"/>
        <w:numPr>
          <w:ilvl w:val="0"/>
          <w:numId w:val="1004"/>
        </w:numPr>
      </w:pPr>
      <w:r>
        <w:rPr>
          <w:b/>
          <w:bCs/>
        </w:rPr>
        <w:t xml:space="preserve">Pinnacle integration ($800K in FY2024, after $1.24M and $620K in FY2022–23):</w:t>
      </w:r>
      <w:r>
        <w:t xml:space="preserve"> </w:t>
      </w:r>
      <w:r>
        <w:t xml:space="preserve">third consecutive year of an</w:t>
      </w:r>
      <w:r>
        <w:t xml:space="preserve"> </w:t>
      </w:r>
      <w:r>
        <w:t xml:space="preserve">“integration”</w:t>
      </w:r>
      <w:r>
        <w:t xml:space="preserve"> </w:t>
      </w:r>
      <w:r>
        <w:t xml:space="preserve">add-back for an acquisition management calls</w:t>
      </w:r>
      <w:r>
        <w:t xml:space="preserve"> </w:t>
      </w:r>
      <w:r>
        <w:t xml:space="preserve">“substantially complete”</w:t>
      </w:r>
      <w:r>
        <w:t xml:space="preserve">; smells like run-rate cost.</w:t>
      </w:r>
    </w:p>
    <w:p>
      <w:pPr>
        <w:pStyle w:val="Compact"/>
        <w:numPr>
          <w:ilvl w:val="0"/>
          <w:numId w:val="1004"/>
        </w:numPr>
      </w:pPr>
      <w:r>
        <w:rPr>
          <w:b/>
          <w:bCs/>
        </w:rPr>
        <w:t xml:space="preserve">Asbestos wind-down ($1.8M in FY2024 + $920K in FY2023):</w:t>
      </w:r>
      <w:r>
        <w:t xml:space="preserve"> </w:t>
      </w:r>
      <w:r>
        <w:t xml:space="preserve">legitimate direction, but the service line was revenue-generating through FY2023 ($3.4M revenue) and the add-back schedule does not net historical asbestos revenue/losses consistently; FY2023 adjusted figures embed the same issue.</w:t>
      </w:r>
    </w:p>
    <w:bookmarkEnd w:id="14"/>
    <w:bookmarkStart w:id="15" w:name="X70e47f6c21a9695bbc7e9361b4d070c61e5636c"/>
    <w:p>
      <w:pPr>
        <w:pStyle w:val="Heading3"/>
      </w:pPr>
      <w:r>
        <w:t xml:space="preserve">RF-05. Historical financials do not tie across data room documents —</w:t>
      </w:r>
      <w:r>
        <w:t xml:space="preserve"> </w:t>
      </w:r>
      <w:r>
        <w:rPr>
          <w:b/>
          <w:bCs/>
        </w:rPr>
        <w:t xml:space="preserve">HIGH</w:t>
      </w:r>
    </w:p>
    <w:p>
      <w:pPr>
        <w:pStyle w:val="Compact"/>
        <w:numPr>
          <w:ilvl w:val="0"/>
          <w:numId w:val="1005"/>
        </w:numPr>
      </w:pPr>
      <w:r>
        <w:t xml:space="preserve">Revenue: FY2021 is $82.1M (CIM/P&amp;L) vs. </w:t>
      </w:r>
      <w:r>
        <w:rPr>
          <w:b/>
          <w:bCs/>
        </w:rPr>
        <w:t xml:space="preserve">$78.9M</w:t>
      </w:r>
      <w:r>
        <w:t xml:space="preserve"> </w:t>
      </w:r>
      <w:r>
        <w:t xml:space="preserve">(customer contract summary); FY2022 is $97.6M (CIM) vs. $97.8M (P&amp;L) vs. </w:t>
      </w:r>
      <w:r>
        <w:rPr>
          <w:b/>
          <w:bCs/>
        </w:rPr>
        <w:t xml:space="preserve">$98.2M</w:t>
      </w:r>
      <w:r>
        <w:t xml:space="preserve"> </w:t>
      </w:r>
      <w:r>
        <w:t xml:space="preserve">(customer summary); FY2023 is $114.8M (CIM) vs. $114.6M (P&amp;L) vs. </w:t>
      </w:r>
      <w:r>
        <w:rPr>
          <w:b/>
          <w:bCs/>
        </w:rPr>
        <w:t xml:space="preserve">$115.7M</w:t>
      </w:r>
      <w:r>
        <w:t xml:space="preserve"> </w:t>
      </w:r>
      <w:r>
        <w:t xml:space="preserve">(customer summary).</w:t>
      </w:r>
    </w:p>
    <w:p>
      <w:pPr>
        <w:pStyle w:val="Compact"/>
        <w:numPr>
          <w:ilvl w:val="0"/>
          <w:numId w:val="1005"/>
        </w:numPr>
      </w:pPr>
      <w:r>
        <w:t xml:space="preserve">Gross profit/margin: CIM shows FY2020 GP of $23.1M (33.8%); the P&amp;L shows $23.9M (35.0%). Similar deltas in each year.</w:t>
      </w:r>
    </w:p>
    <w:p>
      <w:pPr>
        <w:pStyle w:val="Compact"/>
        <w:numPr>
          <w:ilvl w:val="0"/>
          <w:numId w:val="1005"/>
        </w:numPr>
      </w:pPr>
      <w:r>
        <w:rPr>
          <w:b/>
          <w:bCs/>
        </w:rPr>
        <w:t xml:space="preserve">Audit status is represented three inconsistent ways:</w:t>
      </w:r>
      <w:r>
        <w:t xml:space="preserve"> </w:t>
      </w:r>
      <w:r>
        <w:t xml:space="preserve">the CIM says the financial statements</w:t>
      </w:r>
      <w:r>
        <w:t xml:space="preserve"> </w:t>
      </w:r>
      <w:r>
        <w:t xml:space="preserve">“have not been audited”</w:t>
      </w:r>
      <w:r>
        <w:t xml:space="preserve"> </w:t>
      </w:r>
      <w:r>
        <w:t xml:space="preserve">and are</w:t>
      </w:r>
      <w:r>
        <w:t xml:space="preserve"> </w:t>
      </w:r>
      <w:r>
        <w:t xml:space="preserve">“reviewed by Hansen &amp; Whitfield, CPAs”</w:t>
      </w:r>
      <w:r>
        <w:t xml:space="preserve">; the QoE cover sheet says FY2020–FY2023 were</w:t>
      </w:r>
      <w:r>
        <w:t xml:space="preserve"> </w:t>
      </w:r>
      <w:r>
        <w:t xml:space="preserve">“audited by Plante Moran PLLC”</w:t>
      </w:r>
      <w:r>
        <w:t xml:space="preserve"> </w:t>
      </w:r>
      <w:r>
        <w:t xml:space="preserve">with FY2024 reviewed; the Litigation Summary references an ASC 450 footnote in</w:t>
      </w:r>
      <w:r>
        <w:t xml:space="preserve"> </w:t>
      </w:r>
      <w:r>
        <w:t xml:space="preserve">“the FY2024 audited financial statements.”</w:t>
      </w:r>
      <w:r>
        <w:t xml:space="preserve"> </w:t>
      </w:r>
      <w:r>
        <w:t xml:space="preserve">The LOI (§8(i)) makes delivery of</w:t>
      </w:r>
      <w:r>
        <w:t xml:space="preserve"> </w:t>
      </w:r>
      <w:r>
        <w:rPr>
          <w:b/>
          <w:bCs/>
        </w:rPr>
        <w:t xml:space="preserve">audited FY2022–FY2024 financials</w:t>
      </w:r>
      <w:r>
        <w:t xml:space="preserve"> </w:t>
      </w:r>
      <w:r>
        <w:t xml:space="preserve">a closing condition — if no audits exist, that condition may be unsatisfiable on the deal timeline.</w:t>
      </w:r>
    </w:p>
    <w:p>
      <w:pPr>
        <w:pStyle w:val="Compact"/>
        <w:numPr>
          <w:ilvl w:val="0"/>
          <w:numId w:val="1005"/>
        </w:numPr>
      </w:pPr>
      <w:r>
        <w:rPr>
          <w:b/>
          <w:bCs/>
        </w:rPr>
        <w:t xml:space="preserve">Action:</w:t>
      </w:r>
      <w:r>
        <w:t xml:space="preserve"> </w:t>
      </w:r>
      <w:r>
        <w:t xml:space="preserve">obtain audit opinions (if any) and engagement letters; reconcile all revenue schedules; condition signing on audited or auditable financials.</w:t>
      </w:r>
    </w:p>
    <w:bookmarkEnd w:id="15"/>
    <w:bookmarkStart w:id="16" w:name="X642e4554f25f6c391e4a96ba638d14899deccaf"/>
    <w:p>
      <w:pPr>
        <w:pStyle w:val="Heading3"/>
      </w:pPr>
      <w:r>
        <w:t xml:space="preserve">RF-06. Maintenance capex is understated; ~$9.8M deferred fleet replacement backlog —</w:t>
      </w:r>
      <w:r>
        <w:t xml:space="preserve"> </w:t>
      </w:r>
      <w:r>
        <w:rPr>
          <w:b/>
          <w:bCs/>
        </w:rPr>
        <w:t xml:space="preserve">HIGH</w:t>
      </w:r>
    </w:p>
    <w:p>
      <w:pPr>
        <w:pStyle w:val="Compact"/>
        <w:numPr>
          <w:ilvl w:val="0"/>
          <w:numId w:val="1006"/>
        </w:numPr>
      </w:pPr>
      <w:r>
        <w:t xml:space="preserve">Management normalizes maintenance capex at $4.0M–$4.5M/year. But the fleet schedule shows</w:t>
      </w:r>
      <w:r>
        <w:t xml:space="preserve"> </w:t>
      </w:r>
      <w:r>
        <w:rPr>
          <w:b/>
          <w:bCs/>
        </w:rPr>
        <w:t xml:space="preserve">38 of 85 units (44.7%) at or past stated useful life</w:t>
      </w:r>
      <w:r>
        <w:t xml:space="preserve">, average fleet age 8.2 years vs. 7.0-year useful life, and an estimated</w:t>
      </w:r>
      <w:r>
        <w:t xml:space="preserve"> </w:t>
      </w:r>
      <w:r>
        <w:rPr>
          <w:b/>
          <w:bCs/>
        </w:rPr>
        <w:t xml:space="preserve">$9.8M replacement cost for past-life units alone</w:t>
      </w:r>
      <w:r>
        <w:t xml:space="preserve">. The QoE workbook itself notes ~$3.3M/year of catch-up capex above run-rate for three years — implying true near-term maintenance capex of</w:t>
      </w:r>
      <w:r>
        <w:t xml:space="preserve"> </w:t>
      </w:r>
      <w:r>
        <w:rPr>
          <w:b/>
          <w:bCs/>
        </w:rPr>
        <w:t xml:space="preserve">~$7.5M+/year</w:t>
      </w:r>
      <w:r>
        <w:t xml:space="preserve">, roughly 70% above management’s normalized figure.</w:t>
      </w:r>
    </w:p>
    <w:p>
      <w:pPr>
        <w:pStyle w:val="Compact"/>
        <w:numPr>
          <w:ilvl w:val="0"/>
          <w:numId w:val="1006"/>
        </w:numPr>
      </w:pPr>
      <w:r>
        <w:t xml:space="preserve">The FY2022–FY2023 dip in truck replacement spend (to $1.2M from $2.1M) was a deliberate deferral during Pinnacle integration — i.e., recent EBITDA was flattered by under-maintenance.</w:t>
      </w:r>
    </w:p>
    <w:p>
      <w:pPr>
        <w:pStyle w:val="Compact"/>
        <w:numPr>
          <w:ilvl w:val="0"/>
          <w:numId w:val="1006"/>
        </w:numPr>
      </w:pPr>
      <w:r>
        <w:rPr>
          <w:b/>
          <w:bCs/>
        </w:rPr>
        <w:t xml:space="preserve">Impact:</w:t>
      </w:r>
      <w:r>
        <w:t xml:space="preserve"> </w:t>
      </w:r>
      <w:r>
        <w:t xml:space="preserve">~$3M+/year of additional true cost directly reduces free cash flow and debt capacity; also an asset-quality/condition rep issue.</w:t>
      </w:r>
    </w:p>
    <w:bookmarkEnd w:id="16"/>
    <w:bookmarkStart w:id="17" w:name="X27724345b2c6a0eda02297f4ae71368ee41cdb6"/>
    <w:p>
      <w:pPr>
        <w:pStyle w:val="Heading3"/>
      </w:pPr>
      <w:r>
        <w:t xml:space="preserve">RF-07. 27% EBITDA decline and decelerating growth masked by presentation —</w:t>
      </w:r>
      <w:r>
        <w:t xml:space="preserve"> </w:t>
      </w:r>
      <w:r>
        <w:rPr>
          <w:b/>
          <w:bCs/>
        </w:rPr>
        <w:t xml:space="preserve">HIGH</w:t>
      </w:r>
    </w:p>
    <w:p>
      <w:pPr>
        <w:pStyle w:val="Compact"/>
        <w:numPr>
          <w:ilvl w:val="0"/>
          <w:numId w:val="1007"/>
        </w:numPr>
      </w:pPr>
      <w:r>
        <w:t xml:space="preserve">On the P&amp;L’s own consistent figures, FY2024 reported EBITDA declined 27% YoY and EBITDA margin fell from 22.0% to 20.5% (or from 16.0% to 14.5% on the EBIT basis management labels EBITDA); revenue growth decelerated from ~20% to 11.1%. The CIM presents none of this trend data (it omits FY2020–FY2023 EBITDA entirely).</w:t>
      </w:r>
    </w:p>
    <w:p>
      <w:r>
        <w:pict>
          <v:rect style="width:0;height:1.5pt" o:hralign="center" o:hrstd="t" o:hr="t"/>
        </w:pict>
      </w:r>
    </w:p>
    <w:bookmarkEnd w:id="17"/>
    <w:bookmarkEnd w:id="18"/>
    <w:bookmarkStart w:id="22" w:name="X52ed47896aeb1c076fa0cb0393789ef3d9e53fe"/>
    <w:p>
      <w:pPr>
        <w:pStyle w:val="Heading2"/>
      </w:pPr>
      <w:r>
        <w:t xml:space="preserve">III. REVENUE CONCENTRATION AND CUSTOMER CONTRACT RED FLAGS</w:t>
      </w:r>
    </w:p>
    <w:bookmarkStart w:id="19" w:name="Xf3c83d7fb24f0547e6cbf3f5459c391662efbda"/>
    <w:p>
      <w:pPr>
        <w:pStyle w:val="Heading3"/>
      </w:pPr>
      <w:r>
        <w:t xml:space="preserve">RF-08. DOE IDIQ ceiling exhaustion: ~$12.1M FY2025 revenue cliff at closing —</w:t>
      </w:r>
      <w:r>
        <w:t xml:space="preserve"> </w:t>
      </w:r>
      <w:r>
        <w:rPr>
          <w:b/>
          <w:bCs/>
        </w:rPr>
        <w:t xml:space="preserve">CRITICAL</w:t>
      </w:r>
    </w:p>
    <w:p>
      <w:pPr>
        <w:pStyle w:val="Compact"/>
        <w:numPr>
          <w:ilvl w:val="0"/>
          <w:numId w:val="1008"/>
        </w:numPr>
      </w:pPr>
      <w:r>
        <w:t xml:space="preserve">DOE (19.2% of revenue; $24.4M TTM) is served under IDIQ DE-EM-0005523 with a $45M ceiling;</w:t>
      </w:r>
      <w:r>
        <w:t xml:space="preserve"> </w:t>
      </w:r>
      <w:r>
        <w:rPr>
          <w:b/>
          <w:bCs/>
        </w:rPr>
        <w:t xml:space="preserve">$32.7M (72.7%) is consumed with only 61.7% of the term elapsed</w:t>
      </w:r>
      <w:r>
        <w:t xml:space="preserve">. Remaining ceiling:</w:t>
      </w:r>
      <w:r>
        <w:t xml:space="preserve"> </w:t>
      </w:r>
      <w:r>
        <w:rPr>
          <w:b/>
          <w:bCs/>
        </w:rPr>
        <w:t xml:space="preserve">$12.3M</w:t>
      </w:r>
      <w:r>
        <w:t xml:space="preserve">. The Company’s own utilization analysis projects</w:t>
      </w:r>
      <w:r>
        <w:t xml:space="preserve"> </w:t>
      </w:r>
      <w:r>
        <w:rPr>
          <w:b/>
          <w:bCs/>
        </w:rPr>
        <w:t xml:space="preserve">ceiling exhaustion in approximately April–May 2025 — precisely the target closing window</w:t>
      </w:r>
      <w:r>
        <w:t xml:space="preserve"> </w:t>
      </w:r>
      <w:r>
        <w:t xml:space="preserve">— and quantifies a</w:t>
      </w:r>
      <w:r>
        <w:t xml:space="preserve"> </w:t>
      </w:r>
      <w:r>
        <w:rPr>
          <w:b/>
          <w:bCs/>
        </w:rPr>
        <w:t xml:space="preserve">“$12.1M+ potential FY2025 revenue headwind”</w:t>
      </w:r>
      <w:r>
        <w:t xml:space="preserve"> </w:t>
      </w:r>
      <w:r>
        <w:t xml:space="preserve">(9.5% of total revenue) absent a ceiling increase or recompete win.</w:t>
      </w:r>
    </w:p>
    <w:p>
      <w:pPr>
        <w:pStyle w:val="Compact"/>
        <w:numPr>
          <w:ilvl w:val="0"/>
          <w:numId w:val="1008"/>
        </w:numPr>
      </w:pPr>
      <w:r>
        <w:t xml:space="preserve">The CIM affirmatively markets this contract as providing</w:t>
      </w:r>
      <w:r>
        <w:t xml:space="preserve"> </w:t>
      </w:r>
      <w:r>
        <w:t xml:space="preserve">“substantial near-term revenue visibility”</w:t>
      </w:r>
      <w:r>
        <w:t xml:space="preserve"> </w:t>
      </w:r>
      <w:r>
        <w:t xml:space="preserve">through August 2026 without disclosing the ceiling math — a material disclosure gap.</w:t>
      </w:r>
    </w:p>
    <w:p>
      <w:pPr>
        <w:pStyle w:val="Compact"/>
        <w:numPr>
          <w:ilvl w:val="0"/>
          <w:numId w:val="1008"/>
        </w:numPr>
      </w:pPr>
      <w:r>
        <w:rPr>
          <w:b/>
          <w:bCs/>
        </w:rPr>
        <w:t xml:space="preserve">Action:</w:t>
      </w:r>
      <w:r>
        <w:t xml:space="preserve"> </w:t>
      </w:r>
      <w:r>
        <w:t xml:space="preserve">model FY2025/FY2026 with DOE revenue at ≤$12.3M; diligence the ceiling-increase/recompete pipeline; consider an earnout or purchase-price contingency tied to DOE renewal; verify no task orders have been issued in excess of remaining ceiling.</w:t>
      </w:r>
    </w:p>
    <w:bookmarkEnd w:id="19"/>
    <w:bookmarkStart w:id="20" w:name="X3ce8b3c192d93c880669992c2fe9563cfe89914"/>
    <w:p>
      <w:pPr>
        <w:pStyle w:val="Heading3"/>
      </w:pPr>
      <w:r>
        <w:t xml:space="preserve">RF-09. Two irreconcilable top-20 customer lists —</w:t>
      </w:r>
      <w:r>
        <w:t xml:space="preserve"> </w:t>
      </w:r>
      <w:r>
        <w:rPr>
          <w:b/>
          <w:bCs/>
        </w:rPr>
        <w:t xml:space="preserve">CRITICAL (data integrity)</w:t>
      </w:r>
    </w:p>
    <w:p>
      <w:pPr>
        <w:pStyle w:val="Compact"/>
        <w:numPr>
          <w:ilvl w:val="0"/>
          <w:numId w:val="1009"/>
        </w:numPr>
      </w:pPr>
      <w:r>
        <w:rPr>
          <w:rStyle w:val="VerbatimChar"/>
        </w:rPr>
        <w:t xml:space="preserve">customer-contract-summary.xlsx</w:t>
      </w:r>
      <w:r>
        <w:t xml:space="preserve"> </w:t>
      </w:r>
      <w:r>
        <w:t xml:space="preserve">and the QoE workbook’s</w:t>
      </w:r>
      <w:r>
        <w:t xml:space="preserve"> </w:t>
      </w:r>
      <w:r>
        <w:t xml:space="preserve">“Revenue by Customer”</w:t>
      </w:r>
      <w:r>
        <w:t xml:space="preserve"> </w:t>
      </w:r>
      <w:r>
        <w:t xml:space="preserve">tab present</w:t>
      </w:r>
      <w:r>
        <w:t xml:space="preserve"> </w:t>
      </w:r>
      <w:r>
        <w:rPr>
          <w:b/>
          <w:bCs/>
        </w:rPr>
        <w:t xml:space="preserve">materially different customer rosters</w:t>
      </w:r>
      <w:r>
        <w:t xml:space="preserve"> </w:t>
      </w:r>
      <w:r>
        <w:t xml:space="preserve">for the same FY2024 TTM period. Beyond DOE (#1) and Consolidated Mining (#2), the lists diverge entirely — e.g., #3 is</w:t>
      </w:r>
      <w:r>
        <w:t xml:space="preserve"> </w:t>
      </w:r>
      <w:r>
        <w:t xml:space="preserve">“Western Slope Municipal Water District”</w:t>
      </w:r>
      <w:r>
        <w:t xml:space="preserve"> </w:t>
      </w:r>
      <w:r>
        <w:t xml:space="preserve">($9.8M) in one and</w:t>
      </w:r>
      <w:r>
        <w:t xml:space="preserve"> </w:t>
      </w:r>
      <w:r>
        <w:t xml:space="preserve">“Western Slope Energy Partners”</w:t>
      </w:r>
      <w:r>
        <w:t xml:space="preserve"> </w:t>
      </w:r>
      <w:r>
        <w:t xml:space="preserve">($8.9M) in the other; one lists Intermountain Health, High Plains Energy, and Silver Creek Mining; the other lists Rio Tinto Kennecott, Suncor, Freeport-McMoRan, Marathon, and Newmont. Historical per-customer revenue also differs (e.g., CMMC FY2020: $8.2M vs. $8.55M).</w:t>
      </w:r>
    </w:p>
    <w:p>
      <w:pPr>
        <w:pStyle w:val="Compact"/>
        <w:numPr>
          <w:ilvl w:val="0"/>
          <w:numId w:val="1009"/>
        </w:numPr>
      </w:pPr>
      <w:r>
        <w:t xml:space="preserve">At least one schedule is inaccurate. Until reconciled,</w:t>
      </w:r>
      <w:r>
        <w:t xml:space="preserve"> </w:t>
      </w:r>
      <w:r>
        <w:rPr>
          <w:b/>
          <w:bCs/>
        </w:rPr>
        <w:t xml:space="preserve">no customer-level diligence conclusion is reliable</w:t>
      </w:r>
      <w:r>
        <w:t xml:space="preserve">, and the discrepancy raises broader questions about data room integrity (see Section XI).</w:t>
      </w:r>
    </w:p>
    <w:p>
      <w:pPr>
        <w:pStyle w:val="Compact"/>
        <w:numPr>
          <w:ilvl w:val="0"/>
          <w:numId w:val="1009"/>
        </w:numPr>
      </w:pPr>
      <w:r>
        <w:rPr>
          <w:b/>
          <w:bCs/>
        </w:rPr>
        <w:t xml:space="preserve">Action:</w:t>
      </w:r>
      <w:r>
        <w:t xml:space="preserve"> </w:t>
      </w:r>
      <w:r>
        <w:t xml:space="preserve">demand invoice-level revenue registers and executed contracts for every top-20 name on both lists; make accuracy of customer schedules a specifically indemnified representation.</w:t>
      </w:r>
    </w:p>
    <w:bookmarkEnd w:id="20"/>
    <w:bookmarkStart w:id="21" w:name="Xac2dcdbd335e51e9089a012cecfe015ef7695c5"/>
    <w:p>
      <w:pPr>
        <w:pStyle w:val="Heading3"/>
      </w:pPr>
      <w:r>
        <w:t xml:space="preserve">RF-10. Change-of-control/assignment consents across the book of business —</w:t>
      </w:r>
      <w:r>
        <w:t xml:space="preserve"> </w:t>
      </w:r>
      <w:r>
        <w:rPr>
          <w:b/>
          <w:bCs/>
        </w:rPr>
        <w:t xml:space="preserve">HIGH</w:t>
      </w:r>
    </w:p>
    <w:p>
      <w:pPr>
        <w:pStyle w:val="Compact"/>
        <w:numPr>
          <w:ilvl w:val="0"/>
          <w:numId w:val="1010"/>
        </w:numPr>
      </w:pPr>
      <w:r>
        <w:rPr>
          <w:b/>
          <w:bCs/>
        </w:rPr>
        <w:t xml:space="preserve">DOE:</w:t>
      </w:r>
      <w:r>
        <w:t xml:space="preserve"> </w:t>
      </w:r>
      <w:r>
        <w:t xml:space="preserve">non-assignable (Anti-Assignment Act, 41 U.S.C. § 6305; FAR 42.12). Even for a stock deal,</w:t>
      </w:r>
      <w:r>
        <w:t xml:space="preserve"> </w:t>
      </w:r>
      <w:r>
        <w:rPr>
          <w:b/>
          <w:bCs/>
        </w:rPr>
        <w:t xml:space="preserve">Clause H-12 requires written notice to the Contracting Officer within 30 days of any change in ownership or control; failure</w:t>
      </w:r>
      <w:r>
        <w:rPr>
          <w:b/>
          <w:bCs/>
        </w:rPr>
        <w:t xml:space="preserve"> </w:t>
      </w:r>
      <w:r>
        <w:rPr>
          <w:b/>
          <w:bCs/>
        </w:rPr>
        <w:t xml:space="preserve">“may be grounds for termination for default.”</w:t>
      </w:r>
      <w:r>
        <w:t xml:space="preserve"> </w:t>
      </w:r>
      <w:r>
        <w:t xml:space="preserve">Novation analysis and CO engagement must precede closing.</w:t>
      </w:r>
    </w:p>
    <w:p>
      <w:pPr>
        <w:pStyle w:val="Compact"/>
        <w:numPr>
          <w:ilvl w:val="0"/>
          <w:numId w:val="1010"/>
        </w:numPr>
      </w:pPr>
      <w:r>
        <w:rPr>
          <w:b/>
          <w:bCs/>
        </w:rPr>
        <w:t xml:space="preserve">8 of the top 20</w:t>
      </w:r>
      <w:r>
        <w:t xml:space="preserve"> </w:t>
      </w:r>
      <w:r>
        <w:t xml:space="preserve">contracts contain assignment/CoC/notification provisions (Intermountain Health — consent required + 60-day notice; Utah DEQ — termination right on ownership change; Rocky Mountain Pipeline — 30-day consent period; CDOT; Bridger Valley; Frontier E&amp;P; Teton Steel; Summit County — county board approval).</w:t>
      </w:r>
    </w:p>
    <w:p>
      <w:pPr>
        <w:pStyle w:val="Compact"/>
        <w:numPr>
          <w:ilvl w:val="0"/>
          <w:numId w:val="1010"/>
        </w:numPr>
      </w:pPr>
      <w:r>
        <w:rPr>
          <w:b/>
          <w:bCs/>
        </w:rPr>
        <w:t xml:space="preserve">12 of the top 20</w:t>
      </w:r>
      <w:r>
        <w:t xml:space="preserve"> </w:t>
      </w:r>
      <w:r>
        <w:t xml:space="preserve">are terminable for convenience on ≤60 days’ notice; CMMC ($14.5M, 11.4% of revenue) is terminable on 60 days’ notice and renews annually.</w:t>
      </w:r>
    </w:p>
    <w:p>
      <w:pPr>
        <w:pStyle w:val="Compact"/>
        <w:numPr>
          <w:ilvl w:val="0"/>
          <w:numId w:val="1010"/>
        </w:numPr>
      </w:pPr>
      <w:r>
        <w:t xml:space="preserve">Five Pinnacle-legacy contracts (~$20.5M, incl. Wasatch Front Petroleum and Silver Creek Mining) run through the compromised SLC facility (see RF-17) — combined facility-dependent revenue ~$16.2M.</w:t>
      </w:r>
    </w:p>
    <w:p>
      <w:r>
        <w:pict>
          <v:rect style="width:0;height:1.5pt" o:hralign="center" o:hrstd="t" o:hr="t"/>
        </w:pict>
      </w:r>
    </w:p>
    <w:bookmarkEnd w:id="21"/>
    <w:bookmarkEnd w:id="22"/>
    <w:bookmarkStart w:id="25" w:name="iv.-debt-change-of-control-red-flags"/>
    <w:p>
      <w:pPr>
        <w:pStyle w:val="Heading2"/>
      </w:pPr>
      <w:r>
        <w:t xml:space="preserve">IV. DEBT / CHANGE-OF-CONTROL RED FLAGS</w:t>
      </w:r>
    </w:p>
    <w:bookmarkStart w:id="23" w:name="X49567df553b78ca2b619876d41aaa5e691a13c8"/>
    <w:p>
      <w:pPr>
        <w:pStyle w:val="Heading3"/>
      </w:pPr>
      <w:r>
        <w:t xml:space="preserve">RF-11. Mandatory prepayment of ~$39.2M within 5 business days of closing; no waiver mechanism —</w:t>
      </w:r>
      <w:r>
        <w:t xml:space="preserve"> </w:t>
      </w:r>
      <w:r>
        <w:rPr>
          <w:b/>
          <w:bCs/>
        </w:rPr>
        <w:t xml:space="preserve">CRITICAL</w:t>
      </w:r>
    </w:p>
    <w:p>
      <w:pPr>
        <w:pStyle w:val="Compact"/>
        <w:numPr>
          <w:ilvl w:val="0"/>
          <w:numId w:val="1011"/>
        </w:numPr>
      </w:pPr>
      <w:r>
        <w:t xml:space="preserve">The acquisition triggers the credit agreement’s Change of Control definition (clauses (a) and (c)). Section 2.11(c) requires prepayment in full of all Obligations within</w:t>
      </w:r>
      <w:r>
        <w:t xml:space="preserve"> </w:t>
      </w:r>
      <w:r>
        <w:rPr>
          <w:b/>
          <w:bCs/>
        </w:rPr>
        <w:t xml:space="preserve">five business days</w:t>
      </w:r>
      <w:r>
        <w:t xml:space="preserve">; the revolver commitment terminates and LCs must be cash-collateralized at 105%. Change of Control is an</w:t>
      </w:r>
      <w:r>
        <w:t xml:space="preserve"> </w:t>
      </w:r>
      <w:r>
        <w:rPr>
          <w:b/>
          <w:bCs/>
        </w:rPr>
        <w:t xml:space="preserve">immediate Event of Default with no cure period</w:t>
      </w:r>
      <w:r>
        <w:t xml:space="preserve">, and the CFO’s summary confirms</w:t>
      </w:r>
      <w:r>
        <w:t xml:space="preserve"> </w:t>
      </w:r>
      <w:r>
        <w:rPr>
          <w:b/>
          <w:bCs/>
        </w:rPr>
        <w:t xml:space="preserve">no consent or waiver mechanism exists</w:t>
      </w:r>
      <w:r>
        <w:t xml:space="preserve"> </w:t>
      </w:r>
      <w:r>
        <w:t xml:space="preserve">— payoff or refinancing is the only path.</w:t>
      </w:r>
    </w:p>
    <w:p>
      <w:pPr>
        <w:pStyle w:val="Compact"/>
        <w:numPr>
          <w:ilvl w:val="0"/>
          <w:numId w:val="1011"/>
        </w:numPr>
      </w:pPr>
      <w:r>
        <w:t xml:space="preserve">Estimated payoff (9/30/24 balances): $12.4M revolver + $26.3M term loan +</w:t>
      </w:r>
      <w:r>
        <w:t xml:space="preserve"> </w:t>
      </w:r>
      <w:r>
        <w:rPr>
          <w:b/>
          <w:bCs/>
        </w:rPr>
        <w:t xml:space="preserve">1.00% prepayment premium (~$263K, applicable to closings on or before January 16, 2026)</w:t>
      </w:r>
      <w:r>
        <w:t xml:space="preserve"> </w:t>
      </w:r>
      <w:r>
        <w:t xml:space="preserve">+ accrued interest ($200K–$300K) + SOFR breakage ≈</w:t>
      </w:r>
      <w:r>
        <w:t xml:space="preserve"> </w:t>
      </w:r>
      <w:r>
        <w:rPr>
          <w:b/>
          <w:bCs/>
        </w:rPr>
        <w:t xml:space="preserve">$39.2M–$39.3M</w:t>
      </w:r>
      <w:r>
        <w:t xml:space="preserve">. Note the LOI’s Net Debt definition captures principal and accrued interest but is silent on the prepayment premium and breakage — clarify allocation now.</w:t>
      </w:r>
    </w:p>
    <w:p>
      <w:pPr>
        <w:pStyle w:val="Compact"/>
        <w:numPr>
          <w:ilvl w:val="0"/>
          <w:numId w:val="1011"/>
        </w:numPr>
      </w:pPr>
      <w:r>
        <w:t xml:space="preserve">Term-loan amortization of $657.5K/quarter begins January 17, 2025; balances at an April 30, 2025 closing will differ from the data room figures.</w:t>
      </w:r>
    </w:p>
    <w:p>
      <w:pPr>
        <w:pStyle w:val="Compact"/>
        <w:numPr>
          <w:ilvl w:val="0"/>
          <w:numId w:val="1011"/>
        </w:numPr>
      </w:pPr>
      <w:r>
        <w:t xml:space="preserve">Ancillary EoD triggers relevant to the pre-closing period: Derek Calloway ceasing to be CEO without lender-approved successor; judgment &gt;$1M not insured/bonded;</w:t>
      </w:r>
      <w:r>
        <w:t xml:space="preserve"> </w:t>
      </w:r>
      <w:r>
        <w:rPr>
          <w:b/>
          <w:bCs/>
        </w:rPr>
        <w:t xml:space="preserve">material environmental event or remediation order &gt;$1M; revocation/non-renewal of any material permit</w:t>
      </w:r>
      <w:r>
        <w:t xml:space="preserve"> </w:t>
      </w:r>
      <w:r>
        <w:t xml:space="preserve">(see RF-18); material labor dispute &gt;10 business days (see RF-27); 5-business-day notice obligations for material litigation, environmental events, and NLRB actions — confirm the Company gave required notices for the CDPHE NOV, Ramirez, and the NLRB petition.</w:t>
      </w:r>
    </w:p>
    <w:bookmarkEnd w:id="23"/>
    <w:bookmarkStart w:id="24" w:name="Xcbd6b25173fcfac07adc79e0586efde064f083e"/>
    <w:p>
      <w:pPr>
        <w:pStyle w:val="Heading3"/>
      </w:pPr>
      <w:r>
        <w:t xml:space="preserve">RF-12. Credit agreement date and lien inconsistencies —</w:t>
      </w:r>
      <w:r>
        <w:t xml:space="preserve"> </w:t>
      </w:r>
      <w:r>
        <w:rPr>
          <w:b/>
          <w:bCs/>
        </w:rPr>
        <w:t xml:space="preserve">HIGH</w:t>
      </w:r>
    </w:p>
    <w:p>
      <w:pPr>
        <w:pStyle w:val="Compact"/>
        <w:numPr>
          <w:ilvl w:val="0"/>
          <w:numId w:val="1012"/>
        </w:numPr>
      </w:pPr>
      <w:r>
        <w:t xml:space="preserve">The org chart (§3.6) refers to a credit agreement dated</w:t>
      </w:r>
      <w:r>
        <w:t xml:space="preserve"> </w:t>
      </w:r>
      <w:r>
        <w:rPr>
          <w:b/>
          <w:bCs/>
        </w:rPr>
        <w:t xml:space="preserve">September 14, 2021</w:t>
      </w:r>
      <w:r>
        <w:t xml:space="preserve">, and suggests Company</w:t>
      </w:r>
      <w:r>
        <w:t xml:space="preserve"> </w:t>
      </w:r>
      <w:r>
        <w:rPr>
          <w:b/>
          <w:bCs/>
        </w:rPr>
        <w:t xml:space="preserve">shares</w:t>
      </w:r>
      <w:r>
        <w:t xml:space="preserve"> </w:t>
      </w:r>
      <w:r>
        <w:t xml:space="preserve">may be encumbered under it; the credit agreement summary and CIM date the facility</w:t>
      </w:r>
      <w:r>
        <w:t xml:space="preserve"> </w:t>
      </w:r>
      <w:r>
        <w:rPr>
          <w:b/>
          <w:bCs/>
        </w:rPr>
        <w:t xml:space="preserve">January 17, 2023</w:t>
      </w:r>
      <w:r>
        <w:t xml:space="preserve"> </w:t>
      </w:r>
      <w:r>
        <w:t xml:space="preserve">and describe the collateral as Company assets plus Pinnacle equity (not RES shares). The Pinnacle guaranty joinder is dated</w:t>
      </w:r>
      <w:r>
        <w:t xml:space="preserve"> </w:t>
      </w:r>
      <w:r>
        <w:rPr>
          <w:b/>
          <w:bCs/>
        </w:rPr>
        <w:t xml:space="preserve">March 15, 2022 — ten months before the stated Closing Date</w:t>
      </w:r>
      <w:r>
        <w:t xml:space="preserve"> </w:t>
      </w:r>
      <w:r>
        <w:t xml:space="preserve">— and had to be</w:t>
      </w:r>
      <w:r>
        <w:t xml:space="preserve"> </w:t>
      </w:r>
      <w:r>
        <w:t xml:space="preserve">“ratified”</w:t>
      </w:r>
      <w:r>
        <w:t xml:space="preserve"> </w:t>
      </w:r>
      <w:r>
        <w:t xml:space="preserve">by amendment.</w:t>
      </w:r>
    </w:p>
    <w:p>
      <w:pPr>
        <w:pStyle w:val="Compact"/>
        <w:numPr>
          <w:ilvl w:val="0"/>
          <w:numId w:val="1012"/>
        </w:numPr>
      </w:pPr>
      <w:r>
        <w:rPr>
          <w:b/>
          <w:bCs/>
        </w:rPr>
        <w:t xml:space="preserve">Action:</w:t>
      </w:r>
      <w:r>
        <w:t xml:space="preserve"> </w:t>
      </w:r>
      <w:r>
        <w:t xml:space="preserve">obtain complete loan files, UCC/lien searches, and confirm whether any predecessor facility, share pledge, or unreleased lien exists; run bring-down searches at closing.</w:t>
      </w:r>
    </w:p>
    <w:p>
      <w:r>
        <w:pict>
          <v:rect style="width:0;height:1.5pt" o:hralign="center" o:hrstd="t" o:hr="t"/>
        </w:pict>
      </w:r>
    </w:p>
    <w:bookmarkEnd w:id="24"/>
    <w:bookmarkEnd w:id="25"/>
    <w:bookmarkStart w:id="32" w:name="v.-environmental-red-flags"/>
    <w:p>
      <w:pPr>
        <w:pStyle w:val="Heading2"/>
      </w:pPr>
      <w:r>
        <w:t xml:space="preserve">V. ENVIRONMENTAL RED FLAGS</w:t>
      </w:r>
    </w:p>
    <w:bookmarkStart w:id="26" w:name="X6846e101450d90c103369bee4773559e8ae0983"/>
    <w:p>
      <w:pPr>
        <w:pStyle w:val="Heading3"/>
      </w:pPr>
      <w:r>
        <w:t xml:space="preserve">RF-13. Grand Junction legacy contamination: stale costing, uninsured, accrual likely inadequate —</w:t>
      </w:r>
      <w:r>
        <w:t xml:space="preserve"> </w:t>
      </w:r>
      <w:r>
        <w:rPr>
          <w:b/>
          <w:bCs/>
        </w:rPr>
        <w:t xml:space="preserve">CRITICAL</w:t>
      </w:r>
    </w:p>
    <w:p>
      <w:pPr>
        <w:pStyle w:val="Compact"/>
        <w:numPr>
          <w:ilvl w:val="0"/>
          <w:numId w:val="1013"/>
        </w:numPr>
      </w:pPr>
      <w:r>
        <w:t xml:space="preserve">The June 2019 Phase II ESA confirms petroleum (TPH/BTEX) and chlorinated solvent (PCE/TCE/DCE) contamination in soil and groundwater exceeding CDPHE standards at the Company’s owned HQ, with remediation estimated at</w:t>
      </w:r>
      <w:r>
        <w:t xml:space="preserve"> </w:t>
      </w:r>
      <w:r>
        <w:rPr>
          <w:b/>
          <w:bCs/>
        </w:rPr>
        <w:t xml:space="preserve">$1.8M–$2.6M in 2019 dollars</w:t>
      </w:r>
      <w:r>
        <w:t xml:space="preserve">. The estimate</w:t>
      </w:r>
      <w:r>
        <w:t xml:space="preserve"> </w:t>
      </w:r>
      <w:r>
        <w:rPr>
          <w:b/>
          <w:bCs/>
        </w:rPr>
        <w:t xml:space="preserve">expressly excludes</w:t>
      </w:r>
      <w:r>
        <w:t xml:space="preserve">: (i) vapor-intrusion assessment/mitigation, (ii) off-site groundwater remediation, (iii) third-party claims, and (iv) NRD claims — and warns DNAPL migration</w:t>
      </w:r>
      <w:r>
        <w:t xml:space="preserve"> </w:t>
      </w:r>
      <w:r>
        <w:t xml:space="preserve">“could substantially increase”</w:t>
      </w:r>
      <w:r>
        <w:t xml:space="preserve"> </w:t>
      </w:r>
      <w:r>
        <w:t xml:space="preserve">scope.</w:t>
      </w:r>
      <w:r>
        <w:t xml:space="preserve"> </w:t>
      </w:r>
      <w:r>
        <w:rPr>
          <w:b/>
          <w:bCs/>
        </w:rPr>
        <w:t xml:space="preserve">No updated ESA has been performed in 5.5 years</w:t>
      </w:r>
      <w:r>
        <w:t xml:space="preserve">, despite Elkhorn’s explicit recommendation to update prior to any transaction. The accrual attributable to Grand Junction is</w:t>
      </w:r>
      <w:r>
        <w:t xml:space="preserve"> </w:t>
      </w:r>
      <w:r>
        <w:rPr>
          <w:b/>
          <w:bCs/>
        </w:rPr>
        <w:t xml:space="preserve">$2.2M</w:t>
      </w:r>
      <w:r>
        <w:t xml:space="preserve"> </w:t>
      </w:r>
      <w:r>
        <w:t xml:space="preserve">— within the stale 2019 range, before inflation and exclusions.</w:t>
      </w:r>
    </w:p>
    <w:p>
      <w:pPr>
        <w:pStyle w:val="Compact"/>
        <w:numPr>
          <w:ilvl w:val="0"/>
          <w:numId w:val="1013"/>
        </w:numPr>
      </w:pPr>
      <w:r>
        <w:rPr>
          <w:b/>
          <w:bCs/>
        </w:rPr>
        <w:t xml:space="preserve">Insurance does not respond:</w:t>
      </w:r>
      <w:r>
        <w:t xml:space="preserve"> </w:t>
      </w:r>
      <w:r>
        <w:t xml:space="preserve">the pollution legal liability policy</w:t>
      </w:r>
      <w:r>
        <w:t xml:space="preserve"> </w:t>
      </w:r>
      <w:r>
        <w:rPr>
          <w:b/>
          <w:bCs/>
        </w:rPr>
        <w:t xml:space="preserve">expressly excludes gradual releases at owned/operated facilities</w:t>
      </w:r>
      <w:r>
        <w:t xml:space="preserve">, and the ESA characterizes all contamination as gradual, long-term releases. The Grand Junction remediation is effectively</w:t>
      </w:r>
      <w:r>
        <w:t xml:space="preserve"> </w:t>
      </w:r>
      <w:r>
        <w:rPr>
          <w:b/>
          <w:bCs/>
        </w:rPr>
        <w:t xml:space="preserve">self-insured</w:t>
      </w:r>
      <w:r>
        <w:t xml:space="preserve">.</w:t>
      </w:r>
    </w:p>
    <w:p>
      <w:pPr>
        <w:pStyle w:val="Compact"/>
        <w:numPr>
          <w:ilvl w:val="0"/>
          <w:numId w:val="1013"/>
        </w:numPr>
      </w:pPr>
      <w:r>
        <w:t xml:space="preserve">The lender holds a mortgage on the property and received a reliance letter on the same 2019 ESA; a remediation order &gt;$1M is an EoD under the credit agreement.</w:t>
      </w:r>
    </w:p>
    <w:p>
      <w:pPr>
        <w:pStyle w:val="Compact"/>
        <w:numPr>
          <w:ilvl w:val="0"/>
          <w:numId w:val="1013"/>
        </w:numPr>
      </w:pPr>
      <w:r>
        <w:t xml:space="preserve">As a stock buyer, Sycamore inherits owner/operator status under CERCLA/RCRA regardless of the contamination’s pre-2009 origin (subject to defenses that require diligence — e.g., BFPP protections generally unavailable to a stock purchaser of the existing owner).</w:t>
      </w:r>
    </w:p>
    <w:p>
      <w:pPr>
        <w:pStyle w:val="Compact"/>
        <w:numPr>
          <w:ilvl w:val="0"/>
          <w:numId w:val="1013"/>
        </w:numPr>
      </w:pPr>
      <w:r>
        <w:rPr>
          <w:b/>
          <w:bCs/>
        </w:rPr>
        <w:t xml:space="preserve">Action:</w:t>
      </w:r>
      <w:r>
        <w:t xml:space="preserve"> </w:t>
      </w:r>
      <w:r>
        <w:t xml:space="preserve">commission updated Phase II ESA and vapor-intrusion assessment</w:t>
      </w:r>
      <w:r>
        <w:t xml:space="preserve"> </w:t>
      </w:r>
      <w:r>
        <w:rPr>
          <w:i/>
          <w:iCs/>
        </w:rPr>
        <w:t xml:space="preserve">now</w:t>
      </w:r>
      <w:r>
        <w:t xml:space="preserve">; obtain fresh remediation cost estimate in current dollars; negotiate a dedicated environmental escrow/indemnity (LOI §5.5 already contemplates special treatment) sized to the updated estimate plus contingency; evaluate CDPHE VCUP entry and environmental insurance (PLL tail per RF-24).</w:t>
      </w:r>
    </w:p>
    <w:bookmarkEnd w:id="26"/>
    <w:bookmarkStart w:id="27" w:name="Xae6963c6538938c7506e84a65e74c8bb5a11c8b"/>
    <w:p>
      <w:pPr>
        <w:pStyle w:val="Heading3"/>
      </w:pPr>
      <w:r>
        <w:t xml:space="preserve">RF-14. Vapor intrusion into occupied building — unassessed employee-exposure risk —</w:t>
      </w:r>
      <w:r>
        <w:t xml:space="preserve"> </w:t>
      </w:r>
      <w:r>
        <w:rPr>
          <w:b/>
          <w:bCs/>
        </w:rPr>
        <w:t xml:space="preserve">HIGH</w:t>
      </w:r>
    </w:p>
    <w:p>
      <w:pPr>
        <w:pStyle w:val="Compact"/>
        <w:numPr>
          <w:ilvl w:val="0"/>
          <w:numId w:val="1014"/>
        </w:numPr>
      </w:pPr>
      <w:r>
        <w:t xml:space="preserve">2019 soil gas results at SG-09/SG-10 exceeded EPA commercial RSLs for PCE (450 µg/m³ vs. 240) and TCE (120 µg/m³ vs. 21 — nearly 6x) adjacent to the 28,000 sq ft vehicle maintenance building</w:t>
      </w:r>
      <w:r>
        <w:t xml:space="preserve"> </w:t>
      </w:r>
      <w:r>
        <w:rPr>
          <w:b/>
          <w:bCs/>
        </w:rPr>
        <w:t xml:space="preserve">occupied daily by RES employees</w:t>
      </w:r>
      <w:r>
        <w:t xml:space="preserve">. Elkhorn called follow-up</w:t>
      </w:r>
      <w:r>
        <w:t xml:space="preserve"> </w:t>
      </w:r>
      <w:r>
        <w:t xml:space="preserve">“a matter warranting prompt attention.”</w:t>
      </w:r>
      <w:r>
        <w:t xml:space="preserve"> </w:t>
      </w:r>
      <w:r>
        <w:t xml:space="preserve">Five and a half years later, no sub-slab or indoor-air sampling has been performed.</w:t>
      </w:r>
    </w:p>
    <w:p>
      <w:pPr>
        <w:pStyle w:val="Compact"/>
        <w:numPr>
          <w:ilvl w:val="0"/>
          <w:numId w:val="1014"/>
        </w:numPr>
      </w:pPr>
      <w:r>
        <w:t xml:space="preserve">This is simultaneously: a potential OSHA/occupational exposure liability; a template for Ramirez-style personal injury claims (see RF-21); a possible mitigation capex item (sub-slab depressurization); and a disclosure problem.</w:t>
      </w:r>
    </w:p>
    <w:bookmarkEnd w:id="27"/>
    <w:bookmarkStart w:id="28" w:name="X1ab40892133baa4c1b785d850c539f32d44c8cf"/>
    <w:p>
      <w:pPr>
        <w:pStyle w:val="Heading3"/>
      </w:pPr>
      <w:r>
        <w:t xml:space="preserve">RF-15. Off-site plume migration never ruled out —</w:t>
      </w:r>
      <w:r>
        <w:t xml:space="preserve"> </w:t>
      </w:r>
      <w:r>
        <w:rPr>
          <w:b/>
          <w:bCs/>
        </w:rPr>
        <w:t xml:space="preserve">MEDIUM</w:t>
      </w:r>
    </w:p>
    <w:p>
      <w:pPr>
        <w:pStyle w:val="Compact"/>
        <w:numPr>
          <w:ilvl w:val="0"/>
          <w:numId w:val="1015"/>
        </w:numPr>
      </w:pPr>
      <w:r>
        <w:t xml:space="preserve">Groundwater</w:t>
      </w:r>
      <w:r>
        <w:t xml:space="preserve"> </w:t>
      </w:r>
      <w:r>
        <w:t xml:space="preserve">“containment”</w:t>
      </w:r>
      <w:r>
        <w:t xml:space="preserve"> </w:t>
      </w:r>
      <w:r>
        <w:t xml:space="preserve">was labeled</w:t>
      </w:r>
      <w:r>
        <w:t xml:space="preserve"> </w:t>
      </w:r>
      <w:r>
        <w:rPr>
          <w:i/>
          <w:iCs/>
        </w:rPr>
        <w:t xml:space="preserve">preliminary</w:t>
      </w:r>
      <w:r>
        <w:t xml:space="preserve"> </w:t>
      </w:r>
      <w:r>
        <w:t xml:space="preserve">by Elkhorn; there are no off-site sentinel wells, flow is toward the Colorado River (1.2 miles), and confirmed off-site migration would trigger Colorado Reg. 41 notifications and</w:t>
      </w:r>
      <w:r>
        <w:t xml:space="preserve"> </w:t>
      </w:r>
      <w:r>
        <w:t xml:space="preserve">“materially increase the scope, complexity, and cost”</w:t>
      </w:r>
      <w:r>
        <w:t xml:space="preserve"> </w:t>
      </w:r>
      <w:r>
        <w:t xml:space="preserve">of remediation. Also note the permit schedule</w:t>
      </w:r>
      <w:r>
        <w:t xml:space="preserve"> </w:t>
      </w:r>
      <w:r>
        <w:rPr>
          <w:i/>
          <w:iCs/>
        </w:rPr>
        <w:t xml:space="preserve">mischaracterizes</w:t>
      </w:r>
      <w:r>
        <w:t xml:space="preserve"> </w:t>
      </w:r>
      <w:r>
        <w:t xml:space="preserve">the ESA (locating contamination in the</w:t>
      </w:r>
      <w:r>
        <w:t xml:space="preserve"> </w:t>
      </w:r>
      <w:r>
        <w:t xml:space="preserve">“northern portion,”</w:t>
      </w:r>
      <w:r>
        <w:t xml:space="preserve"> </w:t>
      </w:r>
      <w:r>
        <w:t xml:space="preserve">identifying only TCE, and describing migration toward the north/east) — the ESA shows western petroleum and eastern solvent source areas with northwest flow. Another data-integrity data point.</w:t>
      </w:r>
    </w:p>
    <w:bookmarkEnd w:id="28"/>
    <w:bookmarkStart w:id="29" w:name="X812a7dba5e566d56318ce8d1be6ea39436fb77c"/>
    <w:p>
      <w:pPr>
        <w:pStyle w:val="Heading3"/>
      </w:pPr>
      <w:r>
        <w:t xml:space="preserve">RF-16. CDPHE enforcement action: unaccrued penalty of $0.2M–$1.16M and inconsistent factual accounts —</w:t>
      </w:r>
      <w:r>
        <w:t xml:space="preserve"> </w:t>
      </w:r>
      <w:r>
        <w:rPr>
          <w:b/>
          <w:bCs/>
        </w:rPr>
        <w:t xml:space="preserve">HIGH</w:t>
      </w:r>
    </w:p>
    <w:p>
      <w:pPr>
        <w:pStyle w:val="Compact"/>
        <w:numPr>
          <w:ilvl w:val="0"/>
          <w:numId w:val="1016"/>
        </w:numPr>
      </w:pPr>
      <w:r>
        <w:t xml:space="preserve">NOV CDPHE-HW-2024-0093 (July 18, 2024) at Grand Junction. Penalty range: Company position</w:t>
      </w:r>
      <w:r>
        <w:t xml:space="preserve"> </w:t>
      </w:r>
      <w:r>
        <w:rPr>
          <w:b/>
          <w:bCs/>
        </w:rPr>
        <w:t xml:space="preserve">$450K max</w:t>
      </w:r>
      <w:r>
        <w:t xml:space="preserve"> </w:t>
      </w:r>
      <w:r>
        <w:t xml:space="preserve">(12 days × $37,500); CDPHE position</w:t>
      </w:r>
      <w:r>
        <w:t xml:space="preserve"> </w:t>
      </w:r>
      <w:r>
        <w:rPr>
          <w:b/>
          <w:bCs/>
        </w:rPr>
        <w:t xml:space="preserve">$1,162,500</w:t>
      </w:r>
      <w:r>
        <w:t xml:space="preserve"> </w:t>
      </w:r>
      <w:r>
        <w:t xml:space="preserve">(31 days); management settlement estimate $200K–$450K.</w:t>
      </w:r>
      <w:r>
        <w:t xml:space="preserve"> </w:t>
      </w:r>
      <w:r>
        <w:rPr>
          <w:b/>
          <w:bCs/>
        </w:rPr>
        <w:t xml:space="preserve">No accrual recorded.</w:t>
      </w:r>
      <w:r>
        <w:t xml:space="preserve"> </w:t>
      </w:r>
      <w:r>
        <w:t xml:space="preserve">Settlement conference expected Q1 2025 — during the diligence/signing window.</w:t>
      </w:r>
    </w:p>
    <w:p>
      <w:pPr>
        <w:pStyle w:val="Compact"/>
        <w:numPr>
          <w:ilvl w:val="0"/>
          <w:numId w:val="1016"/>
        </w:numPr>
      </w:pPr>
      <w:r>
        <w:t xml:space="preserve">The data room gives</w:t>
      </w:r>
      <w:r>
        <w:t xml:space="preserve"> </w:t>
      </w:r>
      <w:r>
        <w:rPr>
          <w:b/>
          <w:bCs/>
        </w:rPr>
        <w:t xml:space="preserve">two different violation narratives</w:t>
      </w:r>
      <w:r>
        <w:t xml:space="preserve">: the Litigation Summary describes ~14,000 gallons of F001/F002 solvents in an unpermitted staging area beyond the 90-day accumulation limit; the Permit Schedule describes a satellite-accumulation-area 55-gallon-limit issue. These are different violations with different penalty postures. Obtain the NOV itself and the September 5, 2024 response.</w:t>
      </w:r>
    </w:p>
    <w:p>
      <w:pPr>
        <w:pStyle w:val="Compact"/>
        <w:numPr>
          <w:ilvl w:val="0"/>
          <w:numId w:val="1016"/>
        </w:numPr>
      </w:pPr>
      <w:r>
        <w:t xml:space="preserve">The LOI (§5.5) already flags this docket for special indemnification — implement via a specific indemnity excluded from basket/cap, with an escrow holdback pending resolution.</w:t>
      </w:r>
    </w:p>
    <w:bookmarkEnd w:id="29"/>
    <w:bookmarkStart w:id="30" w:name="X288cc2aff1dd50f71a3060c6df89af6232367e4"/>
    <w:p>
      <w:pPr>
        <w:pStyle w:val="Heading3"/>
      </w:pPr>
      <w:r>
        <w:t xml:space="preserve">RF-17. Salt Lake City facility: unconsented lease assignment + permit held by a</w:t>
      </w:r>
      <w:r>
        <w:t xml:space="preserve"> </w:t>
      </w:r>
      <w:r>
        <w:t xml:space="preserve">“dormant”</w:t>
      </w:r>
      <w:r>
        <w:t xml:space="preserve"> </w:t>
      </w:r>
      <w:r>
        <w:t xml:space="preserve">entity —</w:t>
      </w:r>
      <w:r>
        <w:t xml:space="preserve"> </w:t>
      </w:r>
      <w:r>
        <w:rPr>
          <w:b/>
          <w:bCs/>
        </w:rPr>
        <w:t xml:space="preserve">CRITICAL</w:t>
      </w:r>
    </w:p>
    <w:p>
      <w:pPr>
        <w:pStyle w:val="FirstParagraph"/>
      </w:pPr>
      <w:r>
        <w:t xml:space="preserve">Roughly</w:t>
      </w:r>
      <w:r>
        <w:t xml:space="preserve"> </w:t>
      </w:r>
      <w:r>
        <w:rPr>
          <w:b/>
          <w:bCs/>
        </w:rPr>
        <w:t xml:space="preserve">$16.2M of annual revenue</w:t>
      </w:r>
      <w:r>
        <w:t xml:space="preserve"> </w:t>
      </w:r>
      <w:r>
        <w:t xml:space="preserve">(12.7%) depends on a facility with two unresolved, compounding defects:</w:t>
      </w:r>
    </w:p>
    <w:p>
      <w:pPr>
        <w:pStyle w:val="Compact"/>
        <w:numPr>
          <w:ilvl w:val="0"/>
          <w:numId w:val="1017"/>
        </w:numPr>
      </w:pPr>
      <w:r>
        <w:rPr>
          <w:b/>
          <w:bCs/>
        </w:rPr>
        <w:t xml:space="preserve">Lease:</w:t>
      </w:r>
      <w:r>
        <w:t xml:space="preserve"> </w:t>
      </w:r>
      <w:r>
        <w:t xml:space="preserve">the SLC lease (Wasatch Industrial Properties) deems any change of control of the tenant an assignment requiring landlord consent. Consent for the 2022 Pinnacle→RES change of control was requested April 12, 2022 and</w:t>
      </w:r>
      <w:r>
        <w:t xml:space="preserve"> </w:t>
      </w:r>
      <w:r>
        <w:rPr>
          <w:b/>
          <w:bCs/>
        </w:rPr>
        <w:t xml:space="preserve">never received</w:t>
      </w:r>
      <w:r>
        <w:t xml:space="preserve"> </w:t>
      </w:r>
      <w:r>
        <w:t xml:space="preserve">despite follow-ups. In</w:t>
      </w:r>
      <w:r>
        <w:t xml:space="preserve"> </w:t>
      </w:r>
      <w:r>
        <w:rPr>
          <w:b/>
          <w:bCs/>
        </w:rPr>
        <w:t xml:space="preserve">November 2024 the landlord sent a lease-compliance inquiry specifically invoking the consent-to-assignment clause</w:t>
      </w:r>
      <w:r>
        <w:t xml:space="preserve"> </w:t>
      </w:r>
      <w:r>
        <w:t xml:space="preserve">— this is not dormant; the landlord is aware and asking questions on the eve of a second change-of-control event (the Sycamore acquisition). A pre-existing default condition may exist.</w:t>
      </w:r>
    </w:p>
    <w:p>
      <w:pPr>
        <w:pStyle w:val="Compact"/>
        <w:numPr>
          <w:ilvl w:val="0"/>
          <w:numId w:val="1017"/>
        </w:numPr>
      </w:pPr>
      <w:r>
        <w:rPr>
          <w:b/>
          <w:bCs/>
        </w:rPr>
        <w:t xml:space="preserve">Permit:</w:t>
      </w:r>
      <w:r>
        <w:t xml:space="preserve"> </w:t>
      </w:r>
      <w:r>
        <w:t xml:space="preserve">Utah permit UTH-0441 remains in</w:t>
      </w:r>
      <w:r>
        <w:t xml:space="preserve"> </w:t>
      </w:r>
      <w:r>
        <w:rPr>
          <w:b/>
          <w:bCs/>
        </w:rPr>
        <w:t xml:space="preserve">Pinnacle’s name</w:t>
      </w:r>
      <w:r>
        <w:t xml:space="preserve">; the transfer application has been pending for</w:t>
      </w:r>
      <w:r>
        <w:t xml:space="preserve"> </w:t>
      </w:r>
      <w:r>
        <w:rPr>
          <w:b/>
          <w:bCs/>
        </w:rPr>
        <w:t xml:space="preserve">2.5+ years</w:t>
      </w:r>
      <w:r>
        <w:t xml:space="preserve">. Utah Admin. Code R315-3 requires Division approval of ownership/control modifications</w:t>
      </w:r>
      <w:r>
        <w:t xml:space="preserve"> </w:t>
      </w:r>
      <w:r>
        <w:rPr>
          <w:i/>
          <w:iCs/>
        </w:rPr>
        <w:t xml:space="preserve">before</w:t>
      </w:r>
      <w:r>
        <w:t xml:space="preserve"> </w:t>
      </w:r>
      <w:r>
        <w:t xml:space="preserve">they are effective. Meanwhile, the org chart states Pinnacle has been</w:t>
      </w:r>
      <w:r>
        <w:t xml:space="preserve"> </w:t>
      </w:r>
      <w:r>
        <w:rPr>
          <w:b/>
          <w:bCs/>
        </w:rPr>
        <w:t xml:space="preserve">dormant with no operations since Q3 2022</w:t>
      </w:r>
      <w:r>
        <w:t xml:space="preserve"> </w:t>
      </w:r>
      <w:r>
        <w:t xml:space="preserve">and the permit schedule confirms RES personnel operate the facility — i.e., the facility is arguably operated by a non-permittee. Management’s comfort position (Pinnacle is a wholly-owned subsidiary) is in tension with its own dormancy disclosure. Note also Pinnacle’s EPA transporter ID was deactivated while the facility permit stayed in its name — inconsistent treatment.</w:t>
      </w:r>
    </w:p>
    <w:p>
      <w:pPr>
        <w:pStyle w:val="Compact"/>
        <w:numPr>
          <w:ilvl w:val="0"/>
          <w:numId w:val="1017"/>
        </w:numPr>
      </w:pPr>
      <w:r>
        <w:rPr>
          <w:b/>
          <w:bCs/>
        </w:rPr>
        <w:t xml:space="preserve">Action:</w:t>
      </w:r>
      <w:r>
        <w:t xml:space="preserve"> </w:t>
      </w:r>
      <w:r>
        <w:t xml:space="preserve">make landlord consent (curing both the 2022 assignment and the Sycamore CoC) and permit transfer/confirmation from the Utah DWM</w:t>
      </w:r>
      <w:r>
        <w:t xml:space="preserve"> </w:t>
      </w:r>
      <w:r>
        <w:rPr>
          <w:b/>
          <w:bCs/>
        </w:rPr>
        <w:t xml:space="preserve">conditions to closing</w:t>
      </w:r>
      <w:r>
        <w:t xml:space="preserve">; obtain estoppel from Wasatch; quantify relocation cost/feasibility as leverage; specific indemnity for pre-closing operation-under-Pinnacle-permit exposure.</w:t>
      </w:r>
    </w:p>
    <w:bookmarkEnd w:id="30"/>
    <w:bookmarkStart w:id="31" w:name="X37929fd9f86b1f6269f7060c19309ab6f675f4e"/>
    <w:p>
      <w:pPr>
        <w:pStyle w:val="Heading3"/>
      </w:pPr>
      <w:r>
        <w:t xml:space="preserve">RF-18. Casper, WY permit expired; operating on timely-renewal grace —</w:t>
      </w:r>
      <w:r>
        <w:t xml:space="preserve"> </w:t>
      </w:r>
      <w:r>
        <w:rPr>
          <w:b/>
          <w:bCs/>
        </w:rPr>
        <w:t xml:space="preserve">HIGH</w:t>
      </w:r>
    </w:p>
    <w:p>
      <w:pPr>
        <w:pStyle w:val="Compact"/>
        <w:numPr>
          <w:ilvl w:val="0"/>
          <w:numId w:val="1018"/>
        </w:numPr>
      </w:pPr>
      <w:r>
        <w:t xml:space="preserve">Permit WY-HW-2019-033</w:t>
      </w:r>
      <w:r>
        <w:t xml:space="preserve"> </w:t>
      </w:r>
      <w:r>
        <w:rPr>
          <w:b/>
          <w:bCs/>
        </w:rPr>
        <w:t xml:space="preserve">expired November 30, 2024</w:t>
      </w:r>
      <w:r>
        <w:t xml:space="preserve">; renewal filed October 15, 2024 (46 days prior — confirm Wyoming’s minimum filing window was met); the facility (68–75 employees; Wyoming = ~$30.2M of revenue) operates under timely-renewal provisions with agency action</w:t>
      </w:r>
      <w:r>
        <w:t xml:space="preserve"> </w:t>
      </w:r>
      <w:r>
        <w:t xml:space="preserve">“expected Q1 2025.”</w:t>
      </w:r>
      <w:r>
        <w:t xml:space="preserve"> </w:t>
      </w:r>
      <w:r>
        <w:t xml:space="preserve">The CIM describes the permit portfolio without disclosing the expiration. Credit agreement lists permit non-renewal as an EoD.</w:t>
      </w:r>
      <w:r>
        <w:t xml:space="preserve"> </w:t>
      </w:r>
      <w:r>
        <w:rPr>
          <w:b/>
          <w:bCs/>
        </w:rPr>
        <w:t xml:space="preserve">Action:</w:t>
      </w:r>
      <w:r>
        <w:t xml:space="preserve"> </w:t>
      </w:r>
      <w:r>
        <w:t xml:space="preserve">closing condition that the renewed permit be issued (or written DEQ confirmation of continued authorization); verify renewal application completeness.</w:t>
      </w:r>
    </w:p>
    <w:p>
      <w:r>
        <w:pict>
          <v:rect style="width:0;height:1.5pt" o:hralign="center" o:hrstd="t" o:hr="t"/>
        </w:pict>
      </w:r>
    </w:p>
    <w:bookmarkEnd w:id="31"/>
    <w:bookmarkEnd w:id="32"/>
    <w:bookmarkStart w:id="37" w:name="vi.-litigation-and-regulatory-red-flags"/>
    <w:p>
      <w:pPr>
        <w:pStyle w:val="Heading2"/>
      </w:pPr>
      <w:r>
        <w:t xml:space="preserve">VI. LITIGATION AND REGULATORY RED FLAGS</w:t>
      </w:r>
    </w:p>
    <w:bookmarkStart w:id="33" w:name="X19061408726be6e69ce9c2323393c862cc6a2f2"/>
    <w:p>
      <w:pPr>
        <w:pStyle w:val="Heading3"/>
      </w:pPr>
      <w:r>
        <w:t xml:space="preserve">RF-19. Ramirez v. RES: $4.8M toxic-exposure claim with unresolved coverage —</w:t>
      </w:r>
      <w:r>
        <w:t xml:space="preserve"> </w:t>
      </w:r>
      <w:r>
        <w:rPr>
          <w:b/>
          <w:bCs/>
        </w:rPr>
        <w:t xml:space="preserve">HIGH</w:t>
      </w:r>
    </w:p>
    <w:p>
      <w:pPr>
        <w:pStyle w:val="Compact"/>
        <w:numPr>
          <w:ilvl w:val="0"/>
          <w:numId w:val="1019"/>
        </w:numPr>
      </w:pPr>
      <w:r>
        <w:t xml:space="preserve">Former field technician alleges 10 months of VOC/heavy-metal exposure (March 2023–January 2024) from inadequate PPE/air monitoring; claims include negligence per se (OSHA) and punitive damages; trial set February 2026 (inside the 18-month escrow window). Management estimates $0.5M–$1.5M; no accrual.</w:t>
      </w:r>
    </w:p>
    <w:p>
      <w:pPr>
        <w:pStyle w:val="Compact"/>
        <w:numPr>
          <w:ilvl w:val="0"/>
          <w:numId w:val="1019"/>
        </w:numPr>
      </w:pPr>
      <w:r>
        <w:rPr>
          <w:b/>
          <w:bCs/>
        </w:rPr>
        <w:t xml:space="preserve">Coverage is doubly uncertain:</w:t>
      </w:r>
      <w:r>
        <w:t xml:space="preserve"> </w:t>
      </w:r>
      <w:r>
        <w:t xml:space="preserve">insurer issued a reservation of rights September 19, 2024, and the data room</w:t>
      </w:r>
      <w:r>
        <w:t xml:space="preserve"> </w:t>
      </w:r>
      <w:r>
        <w:rPr>
          <w:i/>
          <w:iCs/>
        </w:rPr>
        <w:t xml:space="preserve">disagrees with itself</w:t>
      </w:r>
      <w:r>
        <w:t xml:space="preserve"> </w:t>
      </w:r>
      <w:r>
        <w:t xml:space="preserve">about where the claim was tendered — Litigation Summary: CGL +</w:t>
      </w:r>
      <w:r>
        <w:t xml:space="preserve"> </w:t>
      </w:r>
      <w:r>
        <w:rPr>
          <w:b/>
          <w:bCs/>
        </w:rPr>
        <w:t xml:space="preserve">pollution</w:t>
      </w:r>
      <w:r>
        <w:t xml:space="preserve"> </w:t>
      </w:r>
      <w:r>
        <w:t xml:space="preserve">policies; Insurance Summary: CGL +</w:t>
      </w:r>
      <w:r>
        <w:t xml:space="preserve"> </w:t>
      </w:r>
      <w:r>
        <w:rPr>
          <w:b/>
          <w:bCs/>
        </w:rPr>
        <w:t xml:space="preserve">workers’ compensation</w:t>
      </w:r>
      <w:r>
        <w:t xml:space="preserve">. The CGL contains a standard pollution exclusion (VOC exposure claims are classic pollution-exclusion territory); employers’ liability limits are only</w:t>
      </w:r>
      <w:r>
        <w:t xml:space="preserve"> </w:t>
      </w:r>
      <w:r>
        <w:rPr>
          <w:b/>
          <w:bCs/>
        </w:rPr>
        <w:t xml:space="preserve">$1M</w:t>
      </w:r>
      <w:r>
        <w:t xml:space="preserve">; the PLL is claims-made and covers third-party job sites — but a 10-month exposure period may implicate gradual-condition arguments and the 72-hour reporting feature; punitive damages are generally uninsurable in many states. Net exposure could be substantially uninsured.</w:t>
      </w:r>
    </w:p>
    <w:p>
      <w:pPr>
        <w:pStyle w:val="Compact"/>
        <w:numPr>
          <w:ilvl w:val="0"/>
          <w:numId w:val="1019"/>
        </w:numPr>
      </w:pPr>
      <w:r>
        <w:t xml:space="preserve">The alleged conduct (failure to follow site H&amp;S plan) also cuts against the CIM’s safety narrative and — combined with the HAZWOPER certification gap at RF-28 — suggests systemic safety-compliance diligence is warranted.</w:t>
      </w:r>
    </w:p>
    <w:bookmarkEnd w:id="33"/>
    <w:bookmarkStart w:id="34" w:name="X442b5dadc63463e1be8c4fd31f1e0fd85b6c37f"/>
    <w:p>
      <w:pPr>
        <w:pStyle w:val="Heading3"/>
      </w:pPr>
      <w:r>
        <w:t xml:space="preserve">RF-20. Asbestos long-tail liability: uninsured, and disclosures conflict —</w:t>
      </w:r>
      <w:r>
        <w:t xml:space="preserve"> </w:t>
      </w:r>
      <w:r>
        <w:rPr>
          <w:b/>
          <w:bCs/>
        </w:rPr>
        <w:t xml:space="preserve">CRITICAL</w:t>
      </w:r>
    </w:p>
    <w:p>
      <w:pPr>
        <w:pStyle w:val="Compact"/>
        <w:numPr>
          <w:ilvl w:val="0"/>
          <w:numId w:val="1020"/>
        </w:numPr>
      </w:pPr>
      <w:r>
        <w:t xml:space="preserve">RES performed asbestos abatement at</w:t>
      </w:r>
      <w:r>
        <w:t xml:space="preserve"> </w:t>
      </w:r>
      <w:r>
        <w:rPr>
          <w:b/>
          <w:bCs/>
        </w:rPr>
        <w:t xml:space="preserve">~145 sites (2012–2023)</w:t>
      </w:r>
      <w:r>
        <w:t xml:space="preserve"> </w:t>
      </w:r>
      <w:r>
        <w:t xml:space="preserve">generating ~$31.2M of revenue. The Litigation Summary asserts the current pollution policy provides completed-operations coverage from the January 1, 2015 retroactive date and states</w:t>
      </w:r>
      <w:r>
        <w:t xml:space="preserve"> </w:t>
      </w:r>
      <w:r>
        <w:t xml:space="preserve">“</w:t>
      </w:r>
      <w:r>
        <w:rPr>
          <w:b/>
          <w:bCs/>
        </w:rPr>
        <w:t xml:space="preserve">no such claims have been asserted to date</w:t>
      </w:r>
      <w:r>
        <w:t xml:space="preserve">.”</w:t>
      </w:r>
    </w:p>
    <w:p>
      <w:pPr>
        <w:pStyle w:val="Compact"/>
        <w:numPr>
          <w:ilvl w:val="0"/>
          <w:numId w:val="1020"/>
        </w:numPr>
      </w:pPr>
      <w:r>
        <w:t xml:space="preserve">Both statements are contradicted elsewhere: (i) the Insurance Summary discloses a</w:t>
      </w:r>
      <w:r>
        <w:t xml:space="preserve"> </w:t>
      </w:r>
      <w:r>
        <w:rPr>
          <w:b/>
          <w:bCs/>
        </w:rPr>
        <w:t xml:space="preserve">blanket asbestos exclusion on the CGL</w:t>
      </w:r>
      <w:r>
        <w:rPr>
          <w:b/>
          <w:bCs/>
        </w:rPr>
        <w:t xml:space="preserve"> </w:t>
      </w:r>
      <w:r>
        <w:rPr>
          <w:b/>
          <w:bCs/>
        </w:rPr>
        <w:t xml:space="preserve">“regardless of when such exposure occurred,”</w:t>
      </w:r>
      <w:r>
        <w:t xml:space="preserve"> </w:t>
      </w:r>
      <w:r>
        <w:t xml:space="preserve">confirms completed-operations coverage for asbestos work is</w:t>
      </w:r>
      <w:r>
        <w:t xml:space="preserve"> </w:t>
      </w:r>
      <w:r>
        <w:rPr>
          <w:b/>
          <w:bCs/>
        </w:rPr>
        <w:t xml:space="preserve">excluded</w:t>
      </w:r>
      <w:r>
        <w:t xml:space="preserve">, and states</w:t>
      </w:r>
      <w:r>
        <w:t xml:space="preserve"> </w:t>
      </w:r>
      <w:r>
        <w:rPr>
          <w:b/>
          <w:bCs/>
        </w:rPr>
        <w:t xml:space="preserve">no tail or extended completed-operations coverage has been procured</w:t>
      </w:r>
      <w:r>
        <w:t xml:space="preserve">; the PLL summary nowhere affirms asbestos coverage; and (ii) the QoE workbook discloses</w:t>
      </w:r>
      <w:r>
        <w:t xml:space="preserve"> </w:t>
      </w:r>
      <w:r>
        <w:rPr>
          <w:b/>
          <w:bCs/>
        </w:rPr>
        <w:t xml:space="preserve">two open workers’ compensation claims (filed 2021 and 2022) by former asbestos abatement employees alleging occupational respiratory exposure</w:t>
      </w:r>
      <w:r>
        <w:t xml:space="preserve">.</w:t>
      </w:r>
    </w:p>
    <w:p>
      <w:pPr>
        <w:pStyle w:val="Compact"/>
        <w:numPr>
          <w:ilvl w:val="0"/>
          <w:numId w:val="1020"/>
        </w:numPr>
      </w:pPr>
      <w:r>
        <w:t xml:space="preserve">2012–2014 operations predate the PLL retroactive date in any event. Latency for asbestos disease runs decades; there is</w:t>
      </w:r>
      <w:r>
        <w:t xml:space="preserve"> </w:t>
      </w:r>
      <w:r>
        <w:rPr>
          <w:b/>
          <w:bCs/>
        </w:rPr>
        <w:t xml:space="preserve">no reserve</w:t>
      </w:r>
      <w:r>
        <w:t xml:space="preserve"> </w:t>
      </w:r>
      <w:r>
        <w:t xml:space="preserve">and, on the better reading of the documents,</w:t>
      </w:r>
      <w:r>
        <w:t xml:space="preserve"> </w:t>
      </w:r>
      <w:r>
        <w:rPr>
          <w:b/>
          <w:bCs/>
        </w:rPr>
        <w:t xml:space="preserve">no insurance</w:t>
      </w:r>
      <w:r>
        <w:t xml:space="preserve">.</w:t>
      </w:r>
    </w:p>
    <w:p>
      <w:pPr>
        <w:pStyle w:val="Compact"/>
        <w:numPr>
          <w:ilvl w:val="0"/>
          <w:numId w:val="1020"/>
        </w:numPr>
      </w:pPr>
      <w:r>
        <w:rPr>
          <w:b/>
          <w:bCs/>
        </w:rPr>
        <w:t xml:space="preserve">Action:</w:t>
      </w:r>
      <w:r>
        <w:t xml:space="preserve"> </w:t>
      </w:r>
      <w:r>
        <w:t xml:space="preserve">insurance archaeology (locate all historical occurrence-based GL policies 2012–2023); obtain the two open WC claim files; evaluate standalone asbestos liability cover; negotiate a long-survival specific indemnity (the 6-year environmental survival in the LOI is likely too short for asbestos latency — seek longer or fundamental-style treatment) and consider excluding asbestos from the cap.</w:t>
      </w:r>
    </w:p>
    <w:bookmarkEnd w:id="34"/>
    <w:bookmarkStart w:id="35" w:name="Xd7f8904a73787191496f9be9b982b14ff445b54"/>
    <w:p>
      <w:pPr>
        <w:pStyle w:val="Heading3"/>
      </w:pPr>
      <w:r>
        <w:t xml:space="preserve">RF-21. FLSA/COMPS wage demand (~$330K claimed) —</w:t>
      </w:r>
      <w:r>
        <w:t xml:space="preserve"> </w:t>
      </w:r>
      <w:r>
        <w:rPr>
          <w:b/>
          <w:bCs/>
        </w:rPr>
        <w:t xml:space="preserve">MEDIUM</w:t>
      </w:r>
    </w:p>
    <w:p>
      <w:pPr>
        <w:pStyle w:val="Compact"/>
        <w:numPr>
          <w:ilvl w:val="0"/>
          <w:numId w:val="1021"/>
        </w:numPr>
      </w:pPr>
      <w:r>
        <w:t xml:space="preserve">Demand letter (October 2024) from eight former asbestos-line technicians: ~$165K unpaid overtime + equal liquidated damages. Management estimates $100K–$200K; no accrual; relies on the FLSA motor-carrier exemption — a fact-intensive defense, and note the</w:t>
      </w:r>
      <w:r>
        <w:t xml:space="preserve"> </w:t>
      </w:r>
      <w:r>
        <w:rPr>
          <w:b/>
          <w:bCs/>
        </w:rPr>
        <w:t xml:space="preserve">COMPS Order does not incorporate the federal motor-carrier exemption</w:t>
      </w:r>
      <w:r>
        <w:t xml:space="preserve">, so the Colorado claims may survive that defense. Collective-action risk if filed. Treat as pre-closing liability/specific indemnity.</w:t>
      </w:r>
    </w:p>
    <w:bookmarkEnd w:id="35"/>
    <w:bookmarkStart w:id="36" w:name="X1b8c3396f3fa11610e689ac7b4fe652e697d2a2"/>
    <w:p>
      <w:pPr>
        <w:pStyle w:val="Heading3"/>
      </w:pPr>
      <w:r>
        <w:t xml:space="preserve">RF-22. Harper counterclaim and litigation-schedule hygiene —</w:t>
      </w:r>
      <w:r>
        <w:t xml:space="preserve"> </w:t>
      </w:r>
      <w:r>
        <w:rPr>
          <w:b/>
          <w:bCs/>
        </w:rPr>
        <w:t xml:space="preserve">MEDIUM</w:t>
      </w:r>
    </w:p>
    <w:p>
      <w:pPr>
        <w:pStyle w:val="Compact"/>
        <w:numPr>
          <w:ilvl w:val="0"/>
          <w:numId w:val="1022"/>
        </w:numPr>
      </w:pPr>
      <w:r>
        <w:t xml:space="preserve">Harper counterclaim ($340K) assessed</w:t>
      </w:r>
      <w:r>
        <w:t xml:space="preserve"> </w:t>
      </w:r>
      <w:r>
        <w:t xml:space="preserve">“Remote”</w:t>
      </w:r>
      <w:r>
        <w:t xml:space="preserve"> </w:t>
      </w:r>
      <w:r>
        <w:t xml:space="preserve">with no reserve; mediation February 2025 (pre-signing — monitor; a settlement</w:t>
      </w:r>
      <w:r>
        <w:t xml:space="preserve"> </w:t>
      </w:r>
      <w:r>
        <w:rPr>
          <w:i/>
          <w:iCs/>
        </w:rPr>
        <w:t xml:space="preserve">payment</w:t>
      </w:r>
      <w:r>
        <w:t xml:space="preserve"> </w:t>
      </w:r>
      <w:r>
        <w:t xml:space="preserve">would further confound RF-02). Aggregate unreserved contingent exposure per the Company:</w:t>
      </w:r>
      <w:r>
        <w:t xml:space="preserve"> </w:t>
      </w:r>
      <w:r>
        <w:rPr>
          <w:b/>
          <w:bCs/>
        </w:rPr>
        <w:t xml:space="preserve">$0.8M–$2.49M</w:t>
      </w:r>
      <w:r>
        <w:t xml:space="preserve"> </w:t>
      </w:r>
      <w:r>
        <w:t xml:space="preserve">(using the Company’s own CDPHE position; +$712.5K if CDPHE’s 31-day position prevails) — against $0 of accruals other than remediation.</w:t>
      </w:r>
    </w:p>
    <w:p>
      <w:r>
        <w:pict>
          <v:rect style="width:0;height:1.5pt" o:hralign="center" o:hrstd="t" o:hr="t"/>
        </w:pict>
      </w:r>
    </w:p>
    <w:bookmarkEnd w:id="36"/>
    <w:bookmarkEnd w:id="37"/>
    <w:bookmarkStart w:id="41" w:name="vii.-insurance-red-flags"/>
    <w:p>
      <w:pPr>
        <w:pStyle w:val="Heading2"/>
      </w:pPr>
      <w:r>
        <w:t xml:space="preserve">VII. INSURANCE RED FLAGS</w:t>
      </w:r>
    </w:p>
    <w:bookmarkStart w:id="38" w:name="rf-23.-structural-coverage-gaps-high"/>
    <w:p>
      <w:pPr>
        <w:pStyle w:val="Heading3"/>
      </w:pPr>
      <w:r>
        <w:t xml:space="preserve">RF-23. Structural coverage gaps —</w:t>
      </w:r>
      <w:r>
        <w:t xml:space="preserve"> </w:t>
      </w:r>
      <w:r>
        <w:rPr>
          <w:b/>
          <w:bCs/>
        </w:rPr>
        <w:t xml:space="preserve">HIGH</w:t>
      </w:r>
    </w:p>
    <w:p>
      <w:pPr>
        <w:pStyle w:val="Compact"/>
        <w:numPr>
          <w:ilvl w:val="0"/>
          <w:numId w:val="1023"/>
        </w:numPr>
      </w:pPr>
      <w:r>
        <w:rPr>
          <w:b/>
          <w:bCs/>
        </w:rPr>
        <w:t xml:space="preserve">No umbrella over pollution:</w:t>
      </w:r>
      <w:r>
        <w:t xml:space="preserve"> </w:t>
      </w:r>
      <w:r>
        <w:t xml:space="preserve">the $25M umbrella sits over CGL/Auto/EL only; PLL is capped at $10M/occurrence, $15M aggregate, with</w:t>
      </w:r>
      <w:r>
        <w:t xml:space="preserve"> </w:t>
      </w:r>
      <w:r>
        <w:rPr>
          <w:b/>
          <w:bCs/>
        </w:rPr>
        <w:t xml:space="preserve">defense costs eroding limits</w:t>
      </w:r>
      <w:r>
        <w:t xml:space="preserve"> </w:t>
      </w:r>
      <w:r>
        <w:t xml:space="preserve">and a $1M regulatory-defense sublimit — thin for a hazmat business facing an active enforcement action and a $4.8M exposure suit.</w:t>
      </w:r>
    </w:p>
    <w:p>
      <w:pPr>
        <w:pStyle w:val="Compact"/>
        <w:numPr>
          <w:ilvl w:val="0"/>
          <w:numId w:val="1023"/>
        </w:numPr>
      </w:pPr>
      <w:r>
        <w:rPr>
          <w:b/>
          <w:bCs/>
        </w:rPr>
        <w:t xml:space="preserve">Gradual-release exclusion at owned facilities</w:t>
      </w:r>
      <w:r>
        <w:t xml:space="preserve"> </w:t>
      </w:r>
      <w:r>
        <w:t xml:space="preserve">(see RF-13) leaves the flagship legacy liability uninsured.</w:t>
      </w:r>
    </w:p>
    <w:p>
      <w:pPr>
        <w:pStyle w:val="Compact"/>
        <w:numPr>
          <w:ilvl w:val="0"/>
          <w:numId w:val="1023"/>
        </w:numPr>
      </w:pPr>
      <w:r>
        <w:rPr>
          <w:b/>
          <w:bCs/>
        </w:rPr>
        <w:t xml:space="preserve">Employers’ liability at $1M</w:t>
      </w:r>
      <w:r>
        <w:t xml:space="preserve"> </w:t>
      </w:r>
      <w:r>
        <w:t xml:space="preserve">per accident/disease vs. a $4.8M employee exposure claim.</w:t>
      </w:r>
    </w:p>
    <w:p>
      <w:pPr>
        <w:pStyle w:val="Compact"/>
        <w:numPr>
          <w:ilvl w:val="0"/>
          <w:numId w:val="1023"/>
        </w:numPr>
      </w:pPr>
      <w:r>
        <w:rPr>
          <w:b/>
          <w:bCs/>
        </w:rPr>
        <w:t xml:space="preserve">Asbestos</w:t>
      </w:r>
      <w:r>
        <w:t xml:space="preserve">: blanket CGL exclusion; no tail (RF-20).</w:t>
      </w:r>
    </w:p>
    <w:bookmarkEnd w:id="38"/>
    <w:bookmarkStart w:id="39" w:name="X75977d0b3f89fea12674c0ed215512a4a77c1a4"/>
    <w:p>
      <w:pPr>
        <w:pStyle w:val="Heading3"/>
      </w:pPr>
      <w:r>
        <w:t xml:space="preserve">RF-24. Claims-made PLL and change of control — tail decision required at closing —</w:t>
      </w:r>
      <w:r>
        <w:t xml:space="preserve"> </w:t>
      </w:r>
      <w:r>
        <w:rPr>
          <w:b/>
          <w:bCs/>
        </w:rPr>
        <w:t xml:space="preserve">HIGH</w:t>
      </w:r>
    </w:p>
    <w:p>
      <w:pPr>
        <w:pStyle w:val="Compact"/>
        <w:numPr>
          <w:ilvl w:val="0"/>
          <w:numId w:val="1024"/>
        </w:numPr>
      </w:pPr>
      <w:r>
        <w:t xml:space="preserve">The PLL is claims-made (retro date 1/1/2015; 60-day post-expiry reporting window). The broker expressly warns a change of control may affect the ability to report claims post-closing and tail availability/pricing (tail = 150% of expiring premium for 36 months). Known conditions (Grand Junction contamination, CDPHE matter, Ramirez, vapor intrusion) must be</w:t>
      </w:r>
      <w:r>
        <w:t xml:space="preserve"> </w:t>
      </w:r>
      <w:r>
        <w:rPr>
          <w:b/>
          <w:bCs/>
        </w:rPr>
        <w:t xml:space="preserve">noticed to carriers before closing</w:t>
      </w:r>
      <w:r>
        <w:t xml:space="preserve"> </w:t>
      </w:r>
      <w:r>
        <w:t xml:space="preserve">to preserve coverage; build tail procurement (and its cost allocation) into the closing checklist and SPA.</w:t>
      </w:r>
    </w:p>
    <w:bookmarkEnd w:id="39"/>
    <w:bookmarkStart w:id="40" w:name="X933176f142477312373246755035918d08a20b9"/>
    <w:p>
      <w:pPr>
        <w:pStyle w:val="Heading3"/>
      </w:pPr>
      <w:r>
        <w:t xml:space="preserve">RF-25. Insurance data inconsistencies —</w:t>
      </w:r>
      <w:r>
        <w:t xml:space="preserve"> </w:t>
      </w:r>
      <w:r>
        <w:rPr>
          <w:b/>
          <w:bCs/>
        </w:rPr>
        <w:t xml:space="preserve">MEDIUM</w:t>
      </w:r>
    </w:p>
    <w:p>
      <w:pPr>
        <w:pStyle w:val="Compact"/>
        <w:numPr>
          <w:ilvl w:val="0"/>
          <w:numId w:val="1025"/>
        </w:numPr>
      </w:pPr>
      <w:r>
        <w:t xml:space="preserve">EMR: 0.91 (Insurance Summary) vs. 0.94 (Benefits Summary). The Grand Junction drum-handling WC claim: 2022 / ~$87,000 (Litigation Summary) vs. February 8, 2023 / $142,300 (Insurance Summary). Ramirez tender routing conflict (RF-19). Benefits Summary claims</w:t>
      </w:r>
      <w:r>
        <w:t xml:space="preserve"> </w:t>
      </w:r>
      <w:r>
        <w:t xml:space="preserve">“no OSHA citations in the past three years,”</w:t>
      </w:r>
      <w:r>
        <w:t xml:space="preserve"> </w:t>
      </w:r>
      <w:r>
        <w:t xml:space="preserve">contradicted by the March 2024 OSHA recordkeeping citations and $4,580 penalty paid June 2024 (Litigation Summary). Fleet counts differ (87 vehicles per insurance vs. 85 units per QoE fleet schedule). Individually small; collectively a reliability pattern.</w:t>
      </w:r>
    </w:p>
    <w:p>
      <w:r>
        <w:pict>
          <v:rect style="width:0;height:1.5pt" o:hralign="center" o:hrstd="t" o:hr="t"/>
        </w:pict>
      </w:r>
    </w:p>
    <w:bookmarkEnd w:id="40"/>
    <w:bookmarkEnd w:id="41"/>
    <w:bookmarkStart w:id="48" w:name="X556341773dd13087cc7ec4f59860dff7a960def"/>
    <w:p>
      <w:pPr>
        <w:pStyle w:val="Heading2"/>
      </w:pPr>
      <w:r>
        <w:t xml:space="preserve">VIII. EMPLOYMENT, LABOR, AND BENEFITS RED FLAGS</w:t>
      </w:r>
    </w:p>
    <w:bookmarkStart w:id="42" w:name="X9d247bca18cd376e44d1fde44480fb38980c34e"/>
    <w:p>
      <w:pPr>
        <w:pStyle w:val="Heading3"/>
      </w:pPr>
      <w:r>
        <w:t xml:space="preserve">RF-26. Union election petition disclosed only in a footnote; contradicts CIM —</w:t>
      </w:r>
      <w:r>
        <w:t xml:space="preserve"> </w:t>
      </w:r>
      <w:r>
        <w:rPr>
          <w:b/>
          <w:bCs/>
        </w:rPr>
        <w:t xml:space="preserve">CRITICAL</w:t>
      </w:r>
    </w:p>
    <w:p>
      <w:pPr>
        <w:pStyle w:val="Compact"/>
        <w:numPr>
          <w:ilvl w:val="0"/>
          <w:numId w:val="1026"/>
        </w:numPr>
      </w:pPr>
      <w:r>
        <w:t xml:space="preserve">A footnote in the Benefits Summary discloses an</w:t>
      </w:r>
      <w:r>
        <w:t xml:space="preserve"> </w:t>
      </w:r>
      <w:r>
        <w:rPr>
          <w:b/>
          <w:bCs/>
        </w:rPr>
        <w:t xml:space="preserve">NLRB election petition filed November 4, 2024 by Teamsters Local 455 covering 62 field technicians at Grand Junction and Casper</w:t>
      </w:r>
      <w:r>
        <w:t xml:space="preserve"> </w:t>
      </w:r>
      <w:r>
        <w:t xml:space="preserve">— the Company’s two largest operational facilities. The CIM (October 2024) and Employment Agreements Summary (December 2024) state the workforce is</w:t>
      </w:r>
      <w:r>
        <w:t xml:space="preserve"> </w:t>
      </w:r>
      <w:r>
        <w:t xml:space="preserve">“entirely non-unionized”</w:t>
      </w:r>
      <w:r>
        <w:t xml:space="preserve"> </w:t>
      </w:r>
      <w:r>
        <w:t xml:space="preserve">with</w:t>
      </w:r>
      <w:r>
        <w:t xml:space="preserve"> </w:t>
      </w:r>
      <w:r>
        <w:t xml:space="preserve">“positive and productive”</w:t>
      </w:r>
      <w:r>
        <w:t xml:space="preserve"> </w:t>
      </w:r>
      <w:r>
        <w:t xml:space="preserve">relations; the Benefits Summary body says the same, relegating the petition to footnote 1.</w:t>
      </w:r>
    </w:p>
    <w:p>
      <w:pPr>
        <w:pStyle w:val="Compact"/>
        <w:numPr>
          <w:ilvl w:val="0"/>
          <w:numId w:val="1026"/>
        </w:numPr>
      </w:pPr>
      <w:r>
        <w:t xml:space="preserve">Implications: NLRA constraints on pre-closing/post-closing communications and changes to terms; successorship bargaining obligations if the union wins; credit agreement 5-day notice obligation and labor-dispute EoD; potential MAC/no-MAC bring-down issue; and another entry in the disclosure-candor pattern.</w:t>
      </w:r>
    </w:p>
    <w:p>
      <w:pPr>
        <w:pStyle w:val="Compact"/>
        <w:numPr>
          <w:ilvl w:val="0"/>
          <w:numId w:val="1026"/>
        </w:numPr>
      </w:pPr>
      <w:r>
        <w:rPr>
          <w:b/>
          <w:bCs/>
        </w:rPr>
        <w:t xml:space="preserve">Action:</w:t>
      </w:r>
      <w:r>
        <w:t xml:space="preserve"> </w:t>
      </w:r>
      <w:r>
        <w:t xml:space="preserve">immediate labor counsel engagement; obtain petition, unit description, election date/status; assess campaign conduct risk pre-closing.</w:t>
      </w:r>
    </w:p>
    <w:bookmarkEnd w:id="42"/>
    <w:bookmarkStart w:id="43" w:name="Xf61b4e3a7de0af8e5f77e495ec74335d179fb6e"/>
    <w:p>
      <w:pPr>
        <w:pStyle w:val="Heading3"/>
      </w:pPr>
      <w:r>
        <w:t xml:space="preserve">RF-27. Change-of-control severance: $3.775M (possibly ~$4.65M), single-trigger for the founders, unallocated in the LOI —</w:t>
      </w:r>
      <w:r>
        <w:t xml:space="preserve"> </w:t>
      </w:r>
      <w:r>
        <w:rPr>
          <w:b/>
          <w:bCs/>
        </w:rPr>
        <w:t xml:space="preserve">HIGH</w:t>
      </w:r>
    </w:p>
    <w:p>
      <w:pPr>
        <w:pStyle w:val="Compact"/>
        <w:numPr>
          <w:ilvl w:val="0"/>
          <w:numId w:val="1027"/>
        </w:numPr>
      </w:pPr>
      <w:r>
        <w:t xml:space="preserve">All five executive agreements trigger on a &gt;50% stock sale.</w:t>
      </w:r>
      <w:r>
        <w:t xml:space="preserve"> </w:t>
      </w:r>
      <w:r>
        <w:rPr>
          <w:b/>
          <w:bCs/>
        </w:rPr>
        <w:t xml:space="preserve">Calloways: single trigger — $1,312,500 each payable within 30 days of closing regardless of continued employment</w:t>
      </w:r>
      <w:r>
        <w:t xml:space="preserve"> </w:t>
      </w:r>
      <w:r>
        <w:t xml:space="preserve">(they are also the sellers — they collect severance on top of proceeds while being</w:t>
      </w:r>
      <w:r>
        <w:t xml:space="preserve"> </w:t>
      </w:r>
      <w:r>
        <w:t xml:space="preserve">“expected to continue in their roles”</w:t>
      </w:r>
      <w:r>
        <w:t xml:space="preserve">). Engel/Dillon/Oakes: double trigger, $1.15M aggregate.</w:t>
      </w:r>
    </w:p>
    <w:p>
      <w:pPr>
        <w:pStyle w:val="Compact"/>
        <w:numPr>
          <w:ilvl w:val="0"/>
          <w:numId w:val="1027"/>
        </w:numPr>
      </w:pPr>
      <w:r>
        <w:rPr>
          <w:b/>
          <w:bCs/>
        </w:rPr>
        <w:t xml:space="preserve">Formula ambiguity:</w:t>
      </w:r>
      <w:r>
        <w:t xml:space="preserve"> </w:t>
      </w:r>
      <w:r>
        <w:t xml:space="preserve">the Employment Agreements Summary describes the founders’ severance as</w:t>
      </w:r>
      <w:r>
        <w:t xml:space="preserve"> </w:t>
      </w:r>
      <w:r>
        <w:t xml:space="preserve">“18 months’ base salary</w:t>
      </w:r>
      <w:r>
        <w:t xml:space="preserve"> </w:t>
      </w:r>
      <w:r>
        <w:rPr>
          <w:b/>
          <w:bCs/>
        </w:rPr>
        <w:t xml:space="preserve">plus bonus target</w:t>
      </w:r>
      <w:r>
        <w:t xml:space="preserve">”</w:t>
      </w:r>
      <w:r>
        <w:t xml:space="preserve"> </w:t>
      </w:r>
      <w:r>
        <w:t xml:space="preserve">but computes only 1.5 × base = $1,312,500; the QoE tab says bonus is</w:t>
      </w:r>
      <w:r>
        <w:t xml:space="preserve"> </w:t>
      </w:r>
      <w:r>
        <w:rPr>
          <w:b/>
          <w:bCs/>
        </w:rPr>
        <w:t xml:space="preserve">excluded</w:t>
      </w:r>
      <w:r>
        <w:t xml:space="preserve"> </w:t>
      </w:r>
      <w:r>
        <w:t xml:space="preserve">per a March 2022 amendment. If</w:t>
      </w:r>
      <w:r>
        <w:t xml:space="preserve"> </w:t>
      </w:r>
      <w:r>
        <w:t xml:space="preserve">“plus target bonus”</w:t>
      </w:r>
      <w:r>
        <w:t xml:space="preserve"> </w:t>
      </w:r>
      <w:r>
        <w:t xml:space="preserve">governs, each payment is $1,750,000 (aggregate ~$4.65M). Obtain the actual agreements and the March 2022 amendment.</w:t>
      </w:r>
    </w:p>
    <w:p>
      <w:pPr>
        <w:pStyle w:val="Compact"/>
        <w:numPr>
          <w:ilvl w:val="0"/>
          <w:numId w:val="1027"/>
        </w:numPr>
      </w:pPr>
      <w:r>
        <w:rPr>
          <w:b/>
          <w:bCs/>
        </w:rPr>
        <w:t xml:space="preserve">Unaddressed in the LOI:</w:t>
      </w:r>
      <w:r>
        <w:t xml:space="preserve"> </w:t>
      </w:r>
      <w:r>
        <w:t xml:space="preserve">whether these are Transaction Expenses (purchase-price deductions) or buyer costs. Negotiate now — this is a ~$3.8M–$4.7M allocation issue. Also run</w:t>
      </w:r>
      <w:r>
        <w:t xml:space="preserve"> </w:t>
      </w:r>
      <w:r>
        <w:rPr>
          <w:b/>
          <w:bCs/>
        </w:rPr>
        <w:t xml:space="preserve">IRC § 280G</w:t>
      </w:r>
      <w:r>
        <w:t xml:space="preserve"> </w:t>
      </w:r>
      <w:r>
        <w:t xml:space="preserve">analysis (C-corp; officers/shareholders are disqualified individuals; single-trigger payments plus bonuses/benefits could approach parachute thresholds; no shareholder-vote cleansing available in the same way post-closing).</w:t>
      </w:r>
    </w:p>
    <w:bookmarkEnd w:id="43"/>
    <w:bookmarkStart w:id="44" w:name="X524fd9e539328ec8952868c122cf5c807609516"/>
    <w:p>
      <w:pPr>
        <w:pStyle w:val="Heading3"/>
      </w:pPr>
      <w:r>
        <w:t xml:space="preserve">RF-28. HAZWOPER certification gap contradicts CIM and creates compliance risk —</w:t>
      </w:r>
      <w:r>
        <w:t xml:space="preserve"> </w:t>
      </w:r>
      <w:r>
        <w:rPr>
          <w:b/>
          <w:bCs/>
        </w:rPr>
        <w:t xml:space="preserve">HIGH</w:t>
      </w:r>
    </w:p>
    <w:p>
      <w:pPr>
        <w:pStyle w:val="Compact"/>
        <w:numPr>
          <w:ilvl w:val="0"/>
          <w:numId w:val="1028"/>
        </w:numPr>
      </w:pPr>
      <w:r>
        <w:t xml:space="preserve">CIM:</w:t>
      </w:r>
      <w:r>
        <w:t xml:space="preserve"> </w:t>
      </w:r>
      <w:r>
        <w:t xml:space="preserve">“all”</w:t>
      </w:r>
      <w:r>
        <w:t xml:space="preserve"> </w:t>
      </w:r>
      <w:r>
        <w:t xml:space="preserve">310+ field operations personnel maintain current 40-hour HAZWOPER certifications (echoed as an OSHA 29 CFR 1910.120 requirement). Benefits Summary: only</w:t>
      </w:r>
      <w:r>
        <w:t xml:space="preserve"> </w:t>
      </w:r>
      <w:r>
        <w:rPr>
          <w:b/>
          <w:bCs/>
        </w:rPr>
        <w:t xml:space="preserve">~148 employees hold current HAZWOPER 40-hour certifications</w:t>
      </w:r>
      <w:r>
        <w:t xml:space="preserve"> </w:t>
      </w:r>
      <w:r>
        <w:t xml:space="preserve">— versus 278 field technicians plus 74 drivers. If the Benefits figure is right, a large share of the field workforce may be performing hazardous waste operations without required certification — an OSHA exposure, a negligence-per-se accelerant for Ramirez-type claims, and a potential breach of customer/DOE contract requirements.</w:t>
      </w:r>
    </w:p>
    <w:bookmarkEnd w:id="44"/>
    <w:bookmarkStart w:id="45" w:name="Xe5e582a90cd36a61d8ae24bc54cf7226698e96a"/>
    <w:p>
      <w:pPr>
        <w:pStyle w:val="Heading3"/>
      </w:pPr>
      <w:r>
        <w:t xml:space="preserve">RF-29. 401(k) safe harbor match suspension — plan qualification risk —</w:t>
      </w:r>
      <w:r>
        <w:t xml:space="preserve"> </w:t>
      </w:r>
      <w:r>
        <w:rPr>
          <w:b/>
          <w:bCs/>
        </w:rPr>
        <w:t xml:space="preserve">HIGH</w:t>
      </w:r>
    </w:p>
    <w:p>
      <w:pPr>
        <w:pStyle w:val="Compact"/>
        <w:numPr>
          <w:ilvl w:val="0"/>
          <w:numId w:val="1029"/>
        </w:numPr>
      </w:pPr>
      <w:r>
        <w:t xml:space="preserve">The safe harbor match was</w:t>
      </w:r>
      <w:r>
        <w:t xml:space="preserve"> </w:t>
      </w:r>
      <w:r>
        <w:rPr>
          <w:b/>
          <w:bCs/>
        </w:rPr>
        <w:t xml:space="preserve">suspended January 1 – June 30, 2023</w:t>
      </w:r>
      <w:r>
        <w:t xml:space="preserve"> </w:t>
      </w:r>
      <w:r>
        <w:t xml:space="preserve">“due to operational cash flow management.”</w:t>
      </w:r>
      <w:r>
        <w:t xml:space="preserve"> </w:t>
      </w:r>
      <w:r>
        <w:t xml:space="preserve">Mid-year suspension of a safe harbor match is permissible only under narrow conditions (operating at an economic loss or advance</w:t>
      </w:r>
      <w:r>
        <w:t xml:space="preserve"> </w:t>
      </w:r>
      <w:r>
        <w:t xml:space="preserve">“maybe not”</w:t>
      </w:r>
      <w:r>
        <w:t xml:space="preserve"> </w:t>
      </w:r>
      <w:r>
        <w:t xml:space="preserve">notice, plus a 30-day participant notice, plan amendment, and full-year ADP/ACP testing). FY2023 was a record profit year (~$11.6M net income), so the economic-loss route looks unavailable. If the suspension was defective, the plan faces testing failures/correction (VCP) exposure. The CFO is the named plan administrator (fiduciary concentration).</w:t>
      </w:r>
      <w:r>
        <w:t xml:space="preserve"> </w:t>
      </w:r>
      <w:r>
        <w:rPr>
          <w:b/>
          <w:bCs/>
        </w:rPr>
        <w:t xml:space="preserve">Action:</w:t>
      </w:r>
      <w:r>
        <w:t xml:space="preserve"> </w:t>
      </w:r>
      <w:r>
        <w:t xml:space="preserve">obtain suspension notices, plan amendment, and FY2023 testing; quantify correction cost; ERISA rep + specific indemnity. (Also note: quarterly cash-flow strain severe enough to suspend the match in H1 FY2023 is itself a QoE data point.)</w:t>
      </w:r>
    </w:p>
    <w:bookmarkEnd w:id="45"/>
    <w:bookmarkStart w:id="46" w:name="X67ee5fa41b936b1edde1479b2b64eef82976a43"/>
    <w:p>
      <w:pPr>
        <w:pStyle w:val="Heading3"/>
      </w:pPr>
      <w:r>
        <w:t xml:space="preserve">RF-30. Executive tenure data conflicts — reps and non-compete enforceability —</w:t>
      </w:r>
      <w:r>
        <w:t xml:space="preserve"> </w:t>
      </w:r>
      <w:r>
        <w:rPr>
          <w:b/>
          <w:bCs/>
        </w:rPr>
        <w:t xml:space="preserve">MEDIUM</w:t>
      </w:r>
    </w:p>
    <w:p>
      <w:pPr>
        <w:pStyle w:val="Compact"/>
        <w:numPr>
          <w:ilvl w:val="0"/>
          <w:numId w:val="1030"/>
        </w:numPr>
      </w:pPr>
      <w:r>
        <w:t xml:space="preserve">Patricia Engel joined:</w:t>
      </w:r>
      <w:r>
        <w:t xml:space="preserve"> </w:t>
      </w:r>
      <w:r>
        <w:rPr>
          <w:b/>
          <w:bCs/>
        </w:rPr>
        <w:t xml:space="preserve">2016</w:t>
      </w:r>
      <w:r>
        <w:t xml:space="preserve"> </w:t>
      </w:r>
      <w:r>
        <w:t xml:space="preserve">(CIM; org chart) vs. </w:t>
      </w:r>
      <w:r>
        <w:rPr>
          <w:b/>
          <w:bCs/>
        </w:rPr>
        <w:t xml:space="preserve">March 2020</w:t>
      </w:r>
      <w:r>
        <w:t xml:space="preserve"> </w:t>
      </w:r>
      <w:r>
        <w:t xml:space="preserve">(Employment Agreements Summary, with a March 15, 2020 agreement) vs. agreement dated</w:t>
      </w:r>
      <w:r>
        <w:t xml:space="preserve"> </w:t>
      </w:r>
      <w:r>
        <w:rPr>
          <w:b/>
          <w:bCs/>
        </w:rPr>
        <w:t xml:space="preserve">June 15, 2019</w:t>
      </w:r>
      <w:r>
        <w:t xml:space="preserve"> </w:t>
      </w:r>
      <w:r>
        <w:t xml:space="preserve">(QoE). Sandra Oakes:</w:t>
      </w:r>
      <w:r>
        <w:t xml:space="preserve"> </w:t>
      </w:r>
      <w:r>
        <w:rPr>
          <w:b/>
          <w:bCs/>
        </w:rPr>
        <w:t xml:space="preserve">2018</w:t>
      </w:r>
      <w:r>
        <w:t xml:space="preserve"> </w:t>
      </w:r>
      <w:r>
        <w:t xml:space="preserve">(org chart) vs. </w:t>
      </w:r>
      <w:r>
        <w:rPr>
          <w:b/>
          <w:bCs/>
        </w:rPr>
        <w:t xml:space="preserve">June 2019</w:t>
      </w:r>
      <w:r>
        <w:t xml:space="preserve"> </w:t>
      </w:r>
      <w:r>
        <w:t xml:space="preserve">(Employment Summary) vs. </w:t>
      </w:r>
      <w:r>
        <w:rPr>
          <w:b/>
          <w:bCs/>
        </w:rPr>
        <w:t xml:space="preserve">September 1, 2020</w:t>
      </w:r>
      <w:r>
        <w:t xml:space="preserve"> </w:t>
      </w:r>
      <w:r>
        <w:t xml:space="preserve">agreement (QoE) vs. </w:t>
      </w:r>
      <w:r>
        <w:rPr>
          <w:b/>
          <w:bCs/>
        </w:rPr>
        <w:t xml:space="preserve">hired February 2024 into a</w:t>
      </w:r>
      <w:r>
        <w:rPr>
          <w:b/>
          <w:bCs/>
        </w:rPr>
        <w:t xml:space="preserve"> </w:t>
      </w:r>
      <w:r>
        <w:rPr>
          <w:b/>
          <w:bCs/>
        </w:rPr>
        <w:t xml:space="preserve">“newly created position”</w:t>
      </w:r>
      <w:r>
        <w:t xml:space="preserve"> </w:t>
      </w:r>
      <w:r>
        <w:t xml:space="preserve">(Benefits Summary). Kurt Dillon:</w:t>
      </w:r>
      <w:r>
        <w:t xml:space="preserve"> </w:t>
      </w:r>
      <w:r>
        <w:rPr>
          <w:b/>
          <w:bCs/>
        </w:rPr>
        <w:t xml:space="preserve">2013</w:t>
      </w:r>
      <w:r>
        <w:t xml:space="preserve"> </w:t>
      </w:r>
      <w:r>
        <w:t xml:space="preserve">(org chart) vs. </w:t>
      </w:r>
      <w:r>
        <w:rPr>
          <w:b/>
          <w:bCs/>
        </w:rPr>
        <w:t xml:space="preserve">2016/2019 promotion</w:t>
      </w:r>
      <w:r>
        <w:t xml:space="preserve"> </w:t>
      </w:r>
      <w:r>
        <w:t xml:space="preserve">(Employment Summary) vs. </w:t>
      </w:r>
      <w:r>
        <w:rPr>
          <w:b/>
          <w:bCs/>
        </w:rPr>
        <w:t xml:space="preserve">“over fifteen years of tenure”</w:t>
      </w:r>
      <w:r>
        <w:t xml:space="preserve"> </w:t>
      </w:r>
      <w:r>
        <w:t xml:space="preserve">(CIM) vs. </w:t>
      </w:r>
      <w:r>
        <w:rPr>
          <w:b/>
          <w:bCs/>
        </w:rPr>
        <w:t xml:space="preserve">March 1, 2020</w:t>
      </w:r>
      <w:r>
        <w:t xml:space="preserve"> </w:t>
      </w:r>
      <w:r>
        <w:t xml:space="preserve">agreement (QoE). Derek/Jason agreement dates also differ (Jan 1, 2018 vs. amended March 2022 references).</w:t>
      </w:r>
    </w:p>
    <w:p>
      <w:pPr>
        <w:pStyle w:val="Compact"/>
        <w:numPr>
          <w:ilvl w:val="0"/>
          <w:numId w:val="1030"/>
        </w:numPr>
      </w:pPr>
      <w:r>
        <w:t xml:space="preserve">Beyond reliability, these conflicts matter legally: enforceability of the Colorado non-competes depends on execution/renewal circumstances and the notice requirements of C.R.S. § 8-2-113 (as amended eff. Aug. 10, 2022); buyer is counting on these covenants for the sellers post-closing. Obtain every executed agreement and amendment; consider new covenants executed at closing as a condition.</w:t>
      </w:r>
    </w:p>
    <w:bookmarkEnd w:id="46"/>
    <w:bookmarkStart w:id="47" w:name="X85216862ae528ff88a884fce8379f1c08f1f47d"/>
    <w:p>
      <w:pPr>
        <w:pStyle w:val="Heading3"/>
      </w:pPr>
      <w:r>
        <w:t xml:space="preserve">RF-31. Workforce data inconsistencies —</w:t>
      </w:r>
      <w:r>
        <w:t xml:space="preserve"> </w:t>
      </w:r>
      <w:r>
        <w:rPr>
          <w:b/>
          <w:bCs/>
        </w:rPr>
        <w:t xml:space="preserve">MEDIUM</w:t>
      </w:r>
    </w:p>
    <w:p>
      <w:pPr>
        <w:pStyle w:val="Compact"/>
        <w:numPr>
          <w:ilvl w:val="0"/>
          <w:numId w:val="1031"/>
        </w:numPr>
      </w:pPr>
      <w:r>
        <w:t xml:space="preserve">Grand Junction headcount: 142 (Benefits) vs. ~140 (CIM) vs. </w:t>
      </w:r>
      <w:r>
        <w:t xml:space="preserve">“</w:t>
      </w:r>
      <w:r>
        <w:rPr>
          <w:b/>
          <w:bCs/>
        </w:rPr>
        <w:t xml:space="preserve">85 of the Company’s 310</w:t>
      </w:r>
      <w:r>
        <w:t xml:space="preserve"> </w:t>
      </w:r>
      <w:r>
        <w:t xml:space="preserve">full-time employees”</w:t>
      </w:r>
      <w:r>
        <w:t xml:space="preserve"> </w:t>
      </w:r>
      <w:r>
        <w:t xml:space="preserve">(Lease Schedule). Field workforce: 310 (CIM) vs. 278 + 74 drivers (Benefits) vs. 340 + 55 drivers (Employment Summary). Turnover:</w:t>
      </w:r>
      <w:r>
        <w:t xml:space="preserve"> </w:t>
      </w:r>
      <w:r>
        <w:t xml:space="preserve">“consistently below industry averages”</w:t>
      </w:r>
      <w:r>
        <w:t xml:space="preserve"> </w:t>
      </w:r>
      <w:r>
        <w:t xml:space="preserve">(CIM) vs. 19%,</w:t>
      </w:r>
      <w:r>
        <w:t xml:space="preserve"> </w:t>
      </w:r>
      <w:r>
        <w:t xml:space="preserve">“in line with industry averages”</w:t>
      </w:r>
      <w:r>
        <w:t xml:space="preserve"> </w:t>
      </w:r>
      <w:r>
        <w:t xml:space="preserve">(Benefits). PTO accrual $1.4M; note forfeiture policy in WY/MT/ID should be validated (Colorado/Utah payout treated correctly).</w:t>
      </w:r>
    </w:p>
    <w:p>
      <w:r>
        <w:pict>
          <v:rect style="width:0;height:1.5pt" o:hralign="center" o:hrstd="t" o:hr="t"/>
        </w:pict>
      </w:r>
    </w:p>
    <w:bookmarkEnd w:id="47"/>
    <w:bookmarkEnd w:id="48"/>
    <w:bookmarkStart w:id="51" w:name="ix.-real-property-red-flags"/>
    <w:p>
      <w:pPr>
        <w:pStyle w:val="Heading2"/>
      </w:pPr>
      <w:r>
        <w:t xml:space="preserve">IX. REAL PROPERTY RED FLAGS</w:t>
      </w:r>
    </w:p>
    <w:bookmarkStart w:id="49" w:name="X5f874dd764867381c07b583ae64c399d1fd71ae"/>
    <w:p>
      <w:pPr>
        <w:pStyle w:val="Heading3"/>
      </w:pPr>
      <w:r>
        <w:t xml:space="preserve">RF-32. The facility roster itself cannot be reconciled —</w:t>
      </w:r>
      <w:r>
        <w:t xml:space="preserve"> </w:t>
      </w:r>
      <w:r>
        <w:rPr>
          <w:b/>
          <w:bCs/>
        </w:rPr>
        <w:t xml:space="preserve">HIGH</w:t>
      </w:r>
    </w:p>
    <w:p>
      <w:pPr>
        <w:pStyle w:val="Compact"/>
        <w:numPr>
          <w:ilvl w:val="0"/>
          <w:numId w:val="1032"/>
        </w:numPr>
      </w:pPr>
      <w:r>
        <w:t xml:space="preserve">The Benefits Summary and the Lease Schedule list</w:t>
      </w:r>
      <w:r>
        <w:t xml:space="preserve"> </w:t>
      </w:r>
      <w:r>
        <w:rPr>
          <w:b/>
          <w:bCs/>
        </w:rPr>
        <w:t xml:space="preserve">different sets of the</w:t>
      </w:r>
      <w:r>
        <w:rPr>
          <w:b/>
          <w:bCs/>
        </w:rPr>
        <w:t xml:space="preserve"> </w:t>
      </w:r>
      <w:r>
        <w:rPr>
          <w:b/>
          <w:bCs/>
        </w:rPr>
        <w:t xml:space="preserve">“11 facilities”</w:t>
      </w:r>
      <w:r>
        <w:t xml:space="preserve">: the Benefits census includes</w:t>
      </w:r>
      <w:r>
        <w:t xml:space="preserve"> </w:t>
      </w:r>
      <w:r>
        <w:rPr>
          <w:b/>
          <w:bCs/>
        </w:rPr>
        <w:t xml:space="preserve">Colorado Springs, Pocatello, and Helena</w:t>
      </w:r>
      <w:r>
        <w:t xml:space="preserve"> </w:t>
      </w:r>
      <w:r>
        <w:t xml:space="preserve">locations and a Denver office at</w:t>
      </w:r>
      <w:r>
        <w:t xml:space="preserve"> </w:t>
      </w:r>
      <w:r>
        <w:rPr>
          <w:b/>
          <w:bCs/>
        </w:rPr>
        <w:t xml:space="preserve">1600 Wewatta Street (28 employees)</w:t>
      </w:r>
      <w:r>
        <w:t xml:space="preserve">; the Lease Schedule lists</w:t>
      </w:r>
      <w:r>
        <w:t xml:space="preserve"> </w:t>
      </w:r>
      <w:r>
        <w:rPr>
          <w:b/>
          <w:bCs/>
        </w:rPr>
        <w:t xml:space="preserve">Pueblo, Missoula, and Cheyenne</w:t>
      </w:r>
      <w:r>
        <w:t xml:space="preserve"> </w:t>
      </w:r>
      <w:r>
        <w:t xml:space="preserve">and a Denver office at</w:t>
      </w:r>
      <w:r>
        <w:t xml:space="preserve"> </w:t>
      </w:r>
      <w:r>
        <w:rPr>
          <w:b/>
          <w:bCs/>
        </w:rPr>
        <w:t xml:space="preserve">4500 Holly Street (5 employees)</w:t>
      </w:r>
      <w:r>
        <w:t xml:space="preserve">; Boise and Rock Springs appear at</w:t>
      </w:r>
      <w:r>
        <w:t xml:space="preserve"> </w:t>
      </w:r>
      <w:r>
        <w:rPr>
          <w:b/>
          <w:bCs/>
        </w:rPr>
        <w:t xml:space="preserve">different street addresses</w:t>
      </w:r>
      <w:r>
        <w:t xml:space="preserve"> </w:t>
      </w:r>
      <w:r>
        <w:t xml:space="preserve">in each. Either the Company occupies unscheduled premises (undisclosed lease obligations, possibly unpermitted operations) or one document is materially wrong.</w:t>
      </w:r>
      <w:r>
        <w:t xml:space="preserve"> </w:t>
      </w:r>
      <w:r>
        <w:rPr>
          <w:b/>
          <w:bCs/>
        </w:rPr>
        <w:t xml:space="preserve">Action:</w:t>
      </w:r>
      <w:r>
        <w:t xml:space="preserve"> </w:t>
      </w:r>
      <w:r>
        <w:t xml:space="preserve">obtain a verified facility list with all leases/licenses; title/lien searches on owned property; estoppels from all landlords.</w:t>
      </w:r>
    </w:p>
    <w:p>
      <w:pPr>
        <w:pStyle w:val="Compact"/>
        <w:numPr>
          <w:ilvl w:val="0"/>
          <w:numId w:val="1032"/>
        </w:numPr>
      </w:pPr>
      <w:r>
        <w:t xml:space="preserve">Building measurements for the owned Grand Junction property also differ between the Phase II ESA (42,000 / 28,000 / 15,000 sq ft) and the Lease Schedule (45,000 / 8,200 / 15,600 sq ft).</w:t>
      </w:r>
    </w:p>
    <w:bookmarkEnd w:id="49"/>
    <w:bookmarkStart w:id="50" w:name="Xc869519297ba4dbc91057bdcba0083eb24ffb01"/>
    <w:p>
      <w:pPr>
        <w:pStyle w:val="Heading3"/>
      </w:pPr>
      <w:r>
        <w:t xml:space="preserve">RF-33. Lease expirations and consents around closing —</w:t>
      </w:r>
      <w:r>
        <w:t xml:space="preserve"> </w:t>
      </w:r>
      <w:r>
        <w:rPr>
          <w:b/>
          <w:bCs/>
        </w:rPr>
        <w:t xml:space="preserve">MEDIUM</w:t>
      </w:r>
    </w:p>
    <w:p>
      <w:pPr>
        <w:pStyle w:val="Compact"/>
        <w:numPr>
          <w:ilvl w:val="0"/>
          <w:numId w:val="1033"/>
        </w:numPr>
      </w:pPr>
      <w:r>
        <w:t xml:space="preserve">Pueblo yard lease expires</w:t>
      </w:r>
      <w:r>
        <w:t xml:space="preserve"> </w:t>
      </w:r>
      <w:r>
        <w:rPr>
          <w:b/>
          <w:bCs/>
        </w:rPr>
        <w:t xml:space="preserve">April 30, 2025 — the target closing date</w:t>
      </w:r>
      <w:r>
        <w:t xml:space="preserve"> </w:t>
      </w:r>
      <w:r>
        <w:t xml:space="preserve">(renewal under negotiation; month-to-month thereafter). Six other leases require landlord consent for assignment, with the stock-deal CoC question unanalyzed for five of them; SLC is the acute case (RF-17). Weighted average remaining term only ~3.7 years for an operations-critical footprint. The Grand Junction appraisal ($6.8M) is from March 2022 — stale for financing purposes.</w:t>
      </w:r>
    </w:p>
    <w:p>
      <w:r>
        <w:pict>
          <v:rect style="width:0;height:1.5pt" o:hralign="center" o:hrstd="t" o:hr="t"/>
        </w:pict>
      </w:r>
    </w:p>
    <w:bookmarkEnd w:id="50"/>
    <w:bookmarkEnd w:id="51"/>
    <w:bookmarkStart w:id="54" w:name="x.-corporate-equity-red-flags"/>
    <w:p>
      <w:pPr>
        <w:pStyle w:val="Heading2"/>
      </w:pPr>
      <w:r>
        <w:t xml:space="preserve">X. CORPORATE / EQUITY RED FLAGS</w:t>
      </w:r>
    </w:p>
    <w:bookmarkStart w:id="52" w:name="Xe6bab6fa69540e175ea0ba16d48fc167ed5939d"/>
    <w:p>
      <w:pPr>
        <w:pStyle w:val="Heading3"/>
      </w:pPr>
      <w:r>
        <w:t xml:space="preserve">RF-34. Calloway Family Trust (35%) — authority and consent diligence —</w:t>
      </w:r>
      <w:r>
        <w:t xml:space="preserve"> </w:t>
      </w:r>
      <w:r>
        <w:rPr>
          <w:b/>
          <w:bCs/>
        </w:rPr>
        <w:t xml:space="preserve">MEDIUM</w:t>
      </w:r>
    </w:p>
    <w:p>
      <w:pPr>
        <w:pStyle w:val="Compact"/>
        <w:numPr>
          <w:ilvl w:val="0"/>
          <w:numId w:val="1034"/>
        </w:numPr>
      </w:pPr>
      <w:r>
        <w:t xml:space="preserve">Irrevocable trust (2017), trustee Linda Calloway (mother of the founders; also a</w:t>
      </w:r>
      <w:r>
        <w:t xml:space="preserve"> </w:t>
      </w:r>
      <w:r>
        <w:rPr>
          <w:b/>
          <w:bCs/>
        </w:rPr>
        <w:t xml:space="preserve">director</w:t>
      </w:r>
      <w:r>
        <w:t xml:space="preserve">). The org chart flags that the trust instrument</w:t>
      </w:r>
      <w:r>
        <w:t xml:space="preserve"> </w:t>
      </w:r>
      <w:r>
        <w:t xml:space="preserve">“contains certain distribution provisions and</w:t>
      </w:r>
      <w:r>
        <w:t xml:space="preserve"> </w:t>
      </w:r>
      <w:r>
        <w:rPr>
          <w:b/>
          <w:bCs/>
        </w:rPr>
        <w:t xml:space="preserve">consent requirements that may be relevant to the proposed transaction</w:t>
      </w:r>
      <w:r>
        <w:t xml:space="preserve">.”</w:t>
      </w:r>
      <w:r>
        <w:t xml:space="preserve"> </w:t>
      </w:r>
      <w:r>
        <w:t xml:space="preserve">The LOI limits the Trust’s obligations to the trustee’s authority.</w:t>
      </w:r>
      <w:r>
        <w:t xml:space="preserve"> </w:t>
      </w:r>
      <w:r>
        <w:rPr>
          <w:b/>
          <w:bCs/>
        </w:rPr>
        <w:t xml:space="preserve">Action:</w:t>
      </w:r>
      <w:r>
        <w:t xml:space="preserve"> </w:t>
      </w:r>
      <w:r>
        <w:t xml:space="preserve">review the trust instrument (Data Room 10.3); confirm trustee’s power of sale, any beneficiary consent requirements, and capacity to give reps/indemnities; consider requiring beneficiary joinders or an opinion of trust counsel. Also note LOI §7.3’s</w:t>
      </w:r>
      <w:r>
        <w:t xml:space="preserve"> </w:t>
      </w:r>
      <w:r>
        <w:t xml:space="preserve">“joint and several as to their respective shares”</w:t>
      </w:r>
      <w:r>
        <w:t xml:space="preserve"> </w:t>
      </w:r>
      <w:r>
        <w:t xml:space="preserve">formulation is internally contradictory (that is</w:t>
      </w:r>
      <w:r>
        <w:t xml:space="preserve"> </w:t>
      </w:r>
      <w:r>
        <w:rPr>
          <w:i/>
          <w:iCs/>
        </w:rPr>
        <w:t xml:space="preserve">several</w:t>
      </w:r>
      <w:r>
        <w:t xml:space="preserve"> </w:t>
      </w:r>
      <w:r>
        <w:t xml:space="preserve">liability) — clarify indemnity architecture in the SPA.</w:t>
      </w:r>
    </w:p>
    <w:bookmarkEnd w:id="52"/>
    <w:bookmarkStart w:id="53" w:name="X83d0f06294132fb6c03a478a9167bf5241cfedf"/>
    <w:p>
      <w:pPr>
        <w:pStyle w:val="Heading3"/>
      </w:pPr>
      <w:r>
        <w:t xml:space="preserve">RF-35. Pinnacle entity status — dormant guarantor holding an operating permit —</w:t>
      </w:r>
      <w:r>
        <w:t xml:space="preserve"> </w:t>
      </w:r>
      <w:r>
        <w:rPr>
          <w:b/>
          <w:bCs/>
        </w:rPr>
        <w:t xml:space="preserve">HIGH</w:t>
      </w:r>
    </w:p>
    <w:p>
      <w:pPr>
        <w:pStyle w:val="Compact"/>
        <w:numPr>
          <w:ilvl w:val="0"/>
          <w:numId w:val="1035"/>
        </w:numPr>
      </w:pPr>
      <w:r>
        <w:t xml:space="preserve">The org chart describes Pinnacle as</w:t>
      </w:r>
      <w:r>
        <w:t xml:space="preserve"> </w:t>
      </w:r>
      <w:r>
        <w:rPr>
          <w:b/>
          <w:bCs/>
        </w:rPr>
        <w:t xml:space="preserve">dormant since Q3 2022</w:t>
      </w:r>
      <w:r>
        <w:t xml:space="preserve">, yet Pinnacle: (i) is the named holder of operating permit UTH-0441 (RF-17); (ii) is the named tenant on the SLC lease; (iii) is a</w:t>
      </w:r>
      <w:r>
        <w:t xml:space="preserve"> </w:t>
      </w:r>
      <w:r>
        <w:rPr>
          <w:b/>
          <w:bCs/>
        </w:rPr>
        <w:t xml:space="preserve">guarantor</w:t>
      </w:r>
      <w:r>
        <w:t xml:space="preserve"> </w:t>
      </w:r>
      <w:r>
        <w:t xml:space="preserve">under the credit agreement; and (iv) is a named insured. A</w:t>
      </w:r>
      <w:r>
        <w:t xml:space="preserve"> </w:t>
      </w:r>
      <w:r>
        <w:t xml:space="preserve">“dormant”</w:t>
      </w:r>
      <w:r>
        <w:t xml:space="preserve"> </w:t>
      </w:r>
      <w:r>
        <w:t xml:space="preserve">entity that is the legal counterparty for an operating facility’s permit and lease is a compliance contradiction that must be cleaned up pre-closing (or immediately post-closing with seller indemnity for the gap period).</w:t>
      </w:r>
    </w:p>
    <w:p>
      <w:r>
        <w:pict>
          <v:rect style="width:0;height:1.5pt" o:hralign="center" o:hrstd="t" o:hr="t"/>
        </w:pict>
      </w:r>
    </w:p>
    <w:bookmarkEnd w:id="53"/>
    <w:bookmarkEnd w:id="54"/>
    <w:bookmarkStart w:id="55" w:name="X8f0901e254defcf44bea1cb7882c9122895d02b"/>
    <w:p>
      <w:pPr>
        <w:pStyle w:val="Heading2"/>
      </w:pPr>
      <w:r>
        <w:t xml:space="preserve">XI. DATA ROOM INTEGRITY — CROSS-CUTTING CONCERN</w:t>
      </w:r>
    </w:p>
    <w:p>
      <w:pPr>
        <w:pStyle w:val="FirstParagraph"/>
      </w:pPr>
      <w:r>
        <w:t xml:space="preserve">The volume and materiality of internal contradictions is itself a red flag bearing on reliance, reps, and fraud carve-outs. The most significant (each detailed above): the three-way $1.2M settlement conflict (RF-02); the two customer lists (RF-09); the audit-status conflict (RF-05); the EBITDA basis conflict (RF-01); the CDPHE violation narratives (RF-16); the asbestos claims/coverage conflict (RF-20); the executive tenure matrix (RF-30); the facility rosters (RF-32); the credit agreement dates (RF-12); Pinnacle</w:t>
      </w:r>
      <w:r>
        <w:t xml:space="preserve"> </w:t>
      </w:r>
      <w:r>
        <w:t xml:space="preserve">“dormant”</w:t>
      </w:r>
      <w:r>
        <w:t xml:space="preserve"> </w:t>
      </w:r>
      <w:r>
        <w:t xml:space="preserve">vs. operating (RF-35); the CIM’s omission of the NLRB petition, DOE ceiling math, Wyoming permit expiration, and EBITDA trend. Also noted: the NDA is dated three different ways across documents (September 12, October 15, and October 28, 2024), and the CFO (preparer of most schedules) is herself the subject of conflicting tenure data.</w:t>
      </w:r>
    </w:p>
    <w:p>
      <w:pPr>
        <w:pStyle w:val="BodyText"/>
      </w:pPr>
      <w:r>
        <w:rPr>
          <w:b/>
          <w:bCs/>
        </w:rPr>
        <w:t xml:space="preserve">Implications:</w:t>
      </w:r>
      <w:r>
        <w:t xml:space="preserve"> </w:t>
      </w:r>
      <w:r>
        <w:t xml:space="preserve">(i) weight independent verification over data room summaries; (ii) resist any</w:t>
      </w:r>
      <w:r>
        <w:t xml:space="preserve"> </w:t>
      </w:r>
      <w:r>
        <w:t xml:space="preserve">“no reliance on data room summaries”</w:t>
      </w:r>
      <w:r>
        <w:t xml:space="preserve"> </w:t>
      </w:r>
      <w:r>
        <w:t xml:space="preserve">or anti-reliance language that would undercut the reps; (iii) preserve unlimited fraud recourse; (iv) require the disclosure schedules to be prepared from source documents with bring-down certificates.</w:t>
      </w:r>
    </w:p>
    <w:p>
      <w:r>
        <w:pict>
          <v:rect style="width:0;height:1.5pt" o:hralign="center" o:hrstd="t" o:hr="t"/>
        </w:pict>
      </w:r>
    </w:p>
    <w:bookmarkEnd w:id="55"/>
    <w:bookmarkStart w:id="56" w:name="X8c322b0c87495c8cc6a38d6f7882c103310c43e"/>
    <w:p>
      <w:pPr>
        <w:pStyle w:val="Heading2"/>
      </w:pPr>
      <w:r>
        <w:t xml:space="preserve">XII. QUANTIFIED EXPOSURE SUMMARY (INDICATIVE)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Range</w:t>
            </w:r>
          </w:p>
        </w:tc>
        <w:tc>
          <w:tcPr/>
          <w:p>
            <w:pPr>
              <w:pStyle w:val="Compact"/>
            </w:pPr>
            <w:r>
              <w:t xml:space="preserve">Accrued?</w:t>
            </w:r>
          </w:p>
        </w:tc>
        <w:tc>
          <w:tcPr/>
          <w:p>
            <w:pPr>
              <w:pStyle w:val="Compact"/>
            </w:pPr>
            <w:r>
              <w:t xml:space="preserve">Insured?</w:t>
            </w:r>
          </w:p>
        </w:tc>
      </w:tr>
      <w:tr>
        <w:tc>
          <w:tcPr/>
          <w:p>
            <w:pPr>
              <w:pStyle w:val="Compact"/>
            </w:pPr>
            <w:r>
              <w:t xml:space="preserve">Debt payoff at closing (incl. ~$263K premium, interest)</w:t>
            </w:r>
          </w:p>
        </w:tc>
        <w:tc>
          <w:tcPr/>
          <w:p>
            <w:pPr>
              <w:pStyle w:val="Compact"/>
            </w:pPr>
            <w:r>
              <w:t xml:space="preserve">~$39.2M–$39.3M</w:t>
            </w:r>
          </w:p>
        </w:tc>
        <w:tc>
          <w:tcPr/>
          <w:p>
            <w:pPr>
              <w:pStyle w:val="Compact"/>
            </w:pPr>
            <w:r>
              <w:t xml:space="preserve">Funded debt</w:t>
            </w:r>
          </w:p>
        </w:tc>
        <w:tc>
          <w:tcPr/>
          <w:p>
            <w:pPr>
              <w:pStyle w:val="Compact"/>
            </w:pPr>
            <w:r>
              <w:t xml:space="preserve">N/A</w:t>
            </w:r>
          </w:p>
        </w:tc>
      </w:tr>
      <w:tr>
        <w:tc>
          <w:tcPr/>
          <w:p>
            <w:pPr>
              <w:pStyle w:val="Compact"/>
            </w:pPr>
            <w:r>
              <w:t xml:space="preserve">DOE FY2025 revenue headwind (annual)</w:t>
            </w:r>
          </w:p>
        </w:tc>
        <w:tc>
          <w:tcPr/>
          <w:p>
            <w:pPr>
              <w:pStyle w:val="Compact"/>
            </w:pPr>
            <w:r>
              <w:t xml:space="preserve">~$12.1M revenue / est. $3M–$4M EBITDA effect</w:t>
            </w:r>
          </w:p>
        </w:tc>
        <w:tc>
          <w:tcPr/>
          <w:p>
            <w:pPr>
              <w:pStyle w:val="Compact"/>
            </w:pPr>
            <w:r>
              <w:t xml:space="preserve">No</w:t>
            </w:r>
          </w:p>
        </w:tc>
        <w:tc>
          <w:tcPr/>
          <w:p>
            <w:pPr>
              <w:pStyle w:val="Compact"/>
            </w:pPr>
            <w:r>
              <w:t xml:space="preserve">No</w:t>
            </w:r>
          </w:p>
        </w:tc>
      </w:tr>
      <w:tr>
        <w:tc>
          <w:tcPr/>
          <w:p>
            <w:pPr>
              <w:pStyle w:val="Compact"/>
            </w:pPr>
            <w:r>
              <w:t xml:space="preserve">Adjusted EBITDA at risk (mgmt vs. bank/QoE basis)</w:t>
            </w:r>
          </w:p>
        </w:tc>
        <w:tc>
          <w:tcPr/>
          <w:p>
            <w:pPr>
              <w:pStyle w:val="Compact"/>
            </w:pPr>
            <w:r>
              <w:t xml:space="preserve">$4.4M–$5.4M of add-backs; $1.0M unreconciled; $2.4M settlement swing</w:t>
            </w:r>
          </w:p>
        </w:tc>
        <w:tc>
          <w:tcPr/>
          <w:p>
            <w:pPr>
              <w:pStyle w:val="Compact"/>
            </w:pPr>
            <w:r>
              <w:t xml:space="preserve">—</w:t>
            </w:r>
          </w:p>
        </w:tc>
        <w:tc>
          <w:tcPr/>
          <w:p>
            <w:pPr>
              <w:pStyle w:val="Compact"/>
            </w:pPr>
            <w:r>
              <w:t xml:space="preserve">—</w:t>
            </w:r>
          </w:p>
        </w:tc>
      </w:tr>
      <w:tr>
        <w:tc>
          <w:tcPr/>
          <w:p>
            <w:pPr>
              <w:pStyle w:val="Compact"/>
            </w:pPr>
            <w:r>
              <w:t xml:space="preserve">Valuation sensitivity at 8.0x–9.0x</w:t>
            </w:r>
          </w:p>
        </w:tc>
        <w:tc>
          <w:tcPr/>
          <w:p>
            <w:pPr>
              <w:pStyle w:val="Compact"/>
            </w:pPr>
            <w:r>
              <w:t xml:space="preserve">~$35M–$50M</w:t>
            </w:r>
          </w:p>
        </w:tc>
        <w:tc>
          <w:tcPr/>
          <w:p>
            <w:pPr>
              <w:pStyle w:val="Compact"/>
            </w:pPr>
            <w:r>
              <w:t xml:space="preserve">—</w:t>
            </w:r>
          </w:p>
        </w:tc>
        <w:tc>
          <w:tcPr/>
          <w:p>
            <w:pPr>
              <w:pStyle w:val="Compact"/>
            </w:pPr>
            <w:r>
              <w:t xml:space="preserve">—</w:t>
            </w:r>
          </w:p>
        </w:tc>
      </w:tr>
      <w:tr>
        <w:tc>
          <w:tcPr/>
          <w:p>
            <w:pPr>
              <w:pStyle w:val="Compact"/>
            </w:pPr>
            <w:r>
              <w:t xml:space="preserve">CoC severance</w:t>
            </w:r>
          </w:p>
        </w:tc>
        <w:tc>
          <w:tcPr/>
          <w:p>
            <w:pPr>
              <w:pStyle w:val="Compact"/>
            </w:pPr>
            <w:r>
              <w:t xml:space="preserve">$3.775M (up to ~$4.65M if bonus included)</w:t>
            </w:r>
          </w:p>
        </w:tc>
        <w:tc>
          <w:tcPr/>
          <w:p>
            <w:pPr>
              <w:pStyle w:val="Compact"/>
            </w:pPr>
            <w:r>
              <w:t xml:space="preserve">No</w:t>
            </w:r>
          </w:p>
        </w:tc>
        <w:tc>
          <w:tcPr/>
          <w:p>
            <w:pPr>
              <w:pStyle w:val="Compact"/>
            </w:pPr>
            <w:r>
              <w:t xml:space="preserve">No</w:t>
            </w:r>
          </w:p>
        </w:tc>
      </w:tr>
      <w:tr>
        <w:tc>
          <w:tcPr/>
          <w:p>
            <w:pPr>
              <w:pStyle w:val="Compact"/>
            </w:pPr>
            <w:r>
              <w:t xml:space="preserve">CDPHE penalty</w:t>
            </w:r>
          </w:p>
        </w:tc>
        <w:tc>
          <w:tcPr/>
          <w:p>
            <w:pPr>
              <w:pStyle w:val="Compact"/>
            </w:pPr>
            <w:r>
              <w:t xml:space="preserve">$0.2M–$1.16M</w:t>
            </w:r>
          </w:p>
        </w:tc>
        <w:tc>
          <w:tcPr/>
          <w:p>
            <w:pPr>
              <w:pStyle w:val="Compact"/>
            </w:pPr>
            <w:r>
              <w:t xml:space="preserve">$0</w:t>
            </w:r>
          </w:p>
        </w:tc>
        <w:tc>
          <w:tcPr/>
          <w:p>
            <w:pPr>
              <w:pStyle w:val="Compact"/>
            </w:pPr>
            <w:r>
              <w:t xml:space="preserve">Regulatory sublimit uncertain</w:t>
            </w:r>
          </w:p>
        </w:tc>
      </w:tr>
      <w:tr>
        <w:tc>
          <w:tcPr/>
          <w:p>
            <w:pPr>
              <w:pStyle w:val="Compact"/>
            </w:pPr>
            <w:r>
              <w:t xml:space="preserve">Ramirez</w:t>
            </w:r>
          </w:p>
        </w:tc>
        <w:tc>
          <w:tcPr/>
          <w:p>
            <w:pPr>
              <w:pStyle w:val="Compact"/>
            </w:pPr>
            <w:r>
              <w:t xml:space="preserve">$0.5M–$1.5M (claim $4.8M)</w:t>
            </w:r>
          </w:p>
        </w:tc>
        <w:tc>
          <w:tcPr/>
          <w:p>
            <w:pPr>
              <w:pStyle w:val="Compact"/>
            </w:pPr>
            <w:r>
              <w:t xml:space="preserve">$0</w:t>
            </w:r>
          </w:p>
        </w:tc>
        <w:tc>
          <w:tcPr/>
          <w:p>
            <w:pPr>
              <w:pStyle w:val="Compact"/>
            </w:pPr>
            <w:r>
              <w:t xml:space="preserve">Reservation of rights</w:t>
            </w:r>
          </w:p>
        </w:tc>
      </w:tr>
      <w:tr>
        <w:tc>
          <w:tcPr/>
          <w:p>
            <w:pPr>
              <w:pStyle w:val="Compact"/>
            </w:pPr>
            <w:r>
              <w:t xml:space="preserve">Wage claims (FLSA/COMPS)</w:t>
            </w:r>
          </w:p>
        </w:tc>
        <w:tc>
          <w:tcPr/>
          <w:p>
            <w:pPr>
              <w:pStyle w:val="Compact"/>
            </w:pPr>
            <w:r>
              <w:t xml:space="preserve">$0.1M–$0.33M</w:t>
            </w:r>
          </w:p>
        </w:tc>
        <w:tc>
          <w:tcPr/>
          <w:p>
            <w:pPr>
              <w:pStyle w:val="Compact"/>
            </w:pPr>
            <w:r>
              <w:t xml:space="preserve">$0</w:t>
            </w:r>
          </w:p>
        </w:tc>
        <w:tc>
          <w:tcPr/>
          <w:p>
            <w:pPr>
              <w:pStyle w:val="Compact"/>
            </w:pPr>
            <w:r>
              <w:t xml:space="preserve">No</w:t>
            </w:r>
          </w:p>
        </w:tc>
      </w:tr>
      <w:tr>
        <w:tc>
          <w:tcPr/>
          <w:p>
            <w:pPr>
              <w:pStyle w:val="Compact"/>
            </w:pPr>
            <w:r>
              <w:t xml:space="preserve">Harper counterclaim</w:t>
            </w:r>
          </w:p>
        </w:tc>
        <w:tc>
          <w:tcPr/>
          <w:p>
            <w:pPr>
              <w:pStyle w:val="Compact"/>
            </w:pPr>
            <w:r>
              <w:t xml:space="preserve">up to $0.34M</w:t>
            </w:r>
          </w:p>
        </w:tc>
        <w:tc>
          <w:tcPr/>
          <w:p>
            <w:pPr>
              <w:pStyle w:val="Compact"/>
            </w:pPr>
            <w:r>
              <w:t xml:space="preserve">$0</w:t>
            </w:r>
          </w:p>
        </w:tc>
        <w:tc>
          <w:tcPr/>
          <w:p>
            <w:pPr>
              <w:pStyle w:val="Compact"/>
            </w:pPr>
            <w:r>
              <w:t xml:space="preserve">No</w:t>
            </w:r>
          </w:p>
        </w:tc>
      </w:tr>
      <w:tr>
        <w:tc>
          <w:tcPr/>
          <w:p>
            <w:pPr>
              <w:pStyle w:val="Compact"/>
            </w:pPr>
            <w:r>
              <w:t xml:space="preserve">Grand Junction remediation</w:t>
            </w:r>
          </w:p>
        </w:tc>
        <w:tc>
          <w:tcPr/>
          <w:p>
            <w:pPr>
              <w:pStyle w:val="Compact"/>
            </w:pPr>
            <w:r>
              <w:t xml:space="preserve">$1.8M–$2.6M (2019 $; excl. VI/off-site)</w:t>
            </w:r>
          </w:p>
        </w:tc>
        <w:tc>
          <w:tcPr/>
          <w:p>
            <w:pPr>
              <w:pStyle w:val="Compact"/>
            </w:pPr>
            <w:r>
              <w:t xml:space="preserve">$2.2M</w:t>
            </w:r>
          </w:p>
        </w:tc>
        <w:tc>
          <w:tcPr/>
          <w:p>
            <w:pPr>
              <w:pStyle w:val="Compact"/>
            </w:pPr>
            <w:r>
              <w:rPr>
                <w:b/>
                <w:bCs/>
              </w:rPr>
              <w:t xml:space="preserve">No (gradual exclusion)</w:t>
            </w:r>
          </w:p>
        </w:tc>
      </w:tr>
      <w:tr>
        <w:tc>
          <w:tcPr/>
          <w:p>
            <w:pPr>
              <w:pStyle w:val="Compact"/>
            </w:pPr>
            <w:r>
              <w:t xml:space="preserve">Vapor intrusion assessment/mitigation</w:t>
            </w:r>
          </w:p>
        </w:tc>
        <w:tc>
          <w:tcPr/>
          <w:p>
            <w:pPr>
              <w:pStyle w:val="Compact"/>
            </w:pPr>
            <w:r>
              <w:t xml:space="preserve">Unquantified</w:t>
            </w:r>
          </w:p>
        </w:tc>
        <w:tc>
          <w:tcPr/>
          <w:p>
            <w:pPr>
              <w:pStyle w:val="Compact"/>
            </w:pPr>
            <w:r>
              <w:t xml:space="preserve">$0</w:t>
            </w:r>
          </w:p>
        </w:tc>
        <w:tc>
          <w:tcPr/>
          <w:p>
            <w:pPr>
              <w:pStyle w:val="Compact"/>
            </w:pPr>
            <w:r>
              <w:t xml:space="preserve">No</w:t>
            </w:r>
          </w:p>
        </w:tc>
      </w:tr>
      <w:tr>
        <w:tc>
          <w:tcPr/>
          <w:p>
            <w:pPr>
              <w:pStyle w:val="Compact"/>
            </w:pPr>
            <w:r>
              <w:t xml:space="preserve">Asbestos long-tail</w:t>
            </w:r>
          </w:p>
        </w:tc>
        <w:tc>
          <w:tcPr/>
          <w:p>
            <w:pPr>
              <w:pStyle w:val="Compact"/>
            </w:pPr>
            <w:r>
              <w:t xml:space="preserve">Unquantifiable</w:t>
            </w:r>
          </w:p>
        </w:tc>
        <w:tc>
          <w:tcPr/>
          <w:p>
            <w:pPr>
              <w:pStyle w:val="Compact"/>
            </w:pPr>
            <w:r>
              <w:t xml:space="preserve">$0</w:t>
            </w:r>
          </w:p>
        </w:tc>
        <w:tc>
          <w:tcPr/>
          <w:p>
            <w:pPr>
              <w:pStyle w:val="Compact"/>
            </w:pPr>
            <w:r>
              <w:rPr>
                <w:b/>
                <w:bCs/>
              </w:rPr>
              <w:t xml:space="preserve">No (CGL exclusion; no tail)</w:t>
            </w:r>
          </w:p>
        </w:tc>
      </w:tr>
      <w:tr>
        <w:tc>
          <w:tcPr/>
          <w:p>
            <w:pPr>
              <w:pStyle w:val="Compact"/>
            </w:pPr>
            <w:r>
              <w:t xml:space="preserve">Fleet replacement backlog</w:t>
            </w:r>
          </w:p>
        </w:tc>
        <w:tc>
          <w:tcPr/>
          <w:p>
            <w:pPr>
              <w:pStyle w:val="Compact"/>
            </w:pPr>
            <w:r>
              <w:t xml:space="preserve">~$9.8M (~$3.3M/yr catch-up)</w:t>
            </w:r>
          </w:p>
        </w:tc>
        <w:tc>
          <w:tcPr/>
          <w:p>
            <w:pPr>
              <w:pStyle w:val="Compact"/>
            </w:pPr>
            <w:r>
              <w:t xml:space="preserve">N/A (capex)</w:t>
            </w:r>
          </w:p>
        </w:tc>
        <w:tc>
          <w:tcPr/>
          <w:p>
            <w:pPr>
              <w:pStyle w:val="Compact"/>
            </w:pPr>
            <w:r>
              <w:t xml:space="preserve">N/A</w:t>
            </w:r>
          </w:p>
        </w:tc>
      </w:tr>
      <w:tr>
        <w:tc>
          <w:tcPr/>
          <w:p>
            <w:pPr>
              <w:pStyle w:val="Compact"/>
            </w:pPr>
            <w:r>
              <w:t xml:space="preserve">401(k) correction exposure</w:t>
            </w:r>
          </w:p>
        </w:tc>
        <w:tc>
          <w:tcPr/>
          <w:p>
            <w:pPr>
              <w:pStyle w:val="Compact"/>
            </w:pPr>
            <w:r>
              <w:t xml:space="preserve">Unquantified</w:t>
            </w:r>
          </w:p>
        </w:tc>
        <w:tc>
          <w:tcPr/>
          <w:p>
            <w:pPr>
              <w:pStyle w:val="Compact"/>
            </w:pPr>
            <w:r>
              <w:t xml:space="preserve">$0</w:t>
            </w:r>
          </w:p>
        </w:tc>
        <w:tc>
          <w:tcPr/>
          <w:p>
            <w:pPr>
              <w:pStyle w:val="Compact"/>
            </w:pPr>
            <w:r>
              <w:t xml:space="preserve">No</w:t>
            </w:r>
          </w:p>
        </w:tc>
      </w:tr>
      <w:tr>
        <w:tc>
          <w:tcPr/>
          <w:p>
            <w:pPr>
              <w:pStyle w:val="Compact"/>
            </w:pPr>
            <w:r>
              <w:t xml:space="preserve">PLL tail premium (if placed)</w:t>
            </w:r>
          </w:p>
        </w:tc>
        <w:tc>
          <w:tcPr/>
          <w:p>
            <w:pPr>
              <w:pStyle w:val="Compact"/>
            </w:pPr>
            <w:r>
              <w:t xml:space="preserve">150% of expiring premium</w:t>
            </w:r>
          </w:p>
        </w:tc>
        <w:tc>
          <w:tcPr/>
          <w:p>
            <w:pPr>
              <w:pStyle w:val="Compact"/>
            </w:pPr>
            <w:r>
              <w:t xml:space="preserve">No</w:t>
            </w:r>
          </w:p>
        </w:tc>
        <w:tc>
          <w:tcPr/>
          <w:p>
            <w:pPr>
              <w:pStyle w:val="Compact"/>
            </w:pPr>
            <w:r>
              <w:t xml:space="preserve">—</w:t>
            </w:r>
          </w:p>
        </w:tc>
      </w:tr>
    </w:tbl>
    <w:p>
      <w:r>
        <w:pict>
          <v:rect style="width:0;height:1.5pt" o:hralign="center" o:hrstd="t" o:hr="t"/>
        </w:pict>
      </w:r>
    </w:p>
    <w:bookmarkEnd w:id="56"/>
    <w:bookmarkStart w:id="57" w:name="xiii.-recommendations"/>
    <w:p>
      <w:pPr>
        <w:pStyle w:val="Heading2"/>
      </w:pPr>
      <w:r>
        <w:t xml:space="preserve">XIII. RECOMMENDATIONS</w:t>
      </w:r>
    </w:p>
    <w:p>
      <w:pPr>
        <w:pStyle w:val="FirstParagraph"/>
      </w:pPr>
      <w:r>
        <w:rPr>
          <w:b/>
          <w:bCs/>
        </w:rPr>
        <w:t xml:space="preserve">Valuation / structure</w:t>
      </w:r>
    </w:p>
    <w:p>
      <w:pPr>
        <w:pStyle w:val="Compact"/>
        <w:numPr>
          <w:ilvl w:val="0"/>
          <w:numId w:val="1036"/>
        </w:numPr>
      </w:pPr>
      <w:r>
        <w:t xml:space="preserve">Hold economics open pending QoE resolution of RF-01/RF-02/RF-05/RF-09; anchor debt capacity to bank-defined EBITDA ($18.4M). Use LOI §3.2 repricing rights.</w:t>
      </w:r>
    </w:p>
    <w:p>
      <w:pPr>
        <w:pStyle w:val="Compact"/>
        <w:numPr>
          <w:ilvl w:val="0"/>
          <w:numId w:val="1036"/>
        </w:numPr>
      </w:pPr>
      <w:r>
        <w:t xml:space="preserve">Model DOE revenue at remaining ceiling ($12.3M) for FY2025; consider earnout/contingent consideration tied to DOE ceiling increase or recompete.</w:t>
      </w:r>
    </w:p>
    <w:p>
      <w:pPr>
        <w:pStyle w:val="Compact"/>
        <w:numPr>
          <w:ilvl w:val="0"/>
          <w:numId w:val="1036"/>
        </w:numPr>
      </w:pPr>
      <w:r>
        <w:t xml:space="preserve">Reduce for identified capex catch-up (~$9.8M) and CoC severance; resolve severance classification as Transaction Expenses in the SPA.</w:t>
      </w:r>
    </w:p>
    <w:p>
      <w:pPr>
        <w:pStyle w:val="FirstParagraph"/>
      </w:pPr>
      <w:r>
        <w:rPr>
          <w:b/>
          <w:bCs/>
        </w:rPr>
        <w:t xml:space="preserve">Conditions to closing (beyond LOI customary conditions)</w:t>
      </w:r>
    </w:p>
    <w:p>
      <w:pPr>
        <w:pStyle w:val="Compact"/>
        <w:numPr>
          <w:ilvl w:val="0"/>
          <w:numId w:val="1037"/>
        </w:numPr>
      </w:pPr>
      <w:r>
        <w:t xml:space="preserve">Payoff letter and lien releases from High Plains National Bank; committed refinancing sized to ~$39.3M.</w:t>
      </w:r>
    </w:p>
    <w:p>
      <w:pPr>
        <w:pStyle w:val="Compact"/>
        <w:numPr>
          <w:ilvl w:val="0"/>
          <w:numId w:val="1037"/>
        </w:numPr>
      </w:pPr>
      <w:r>
        <w:t xml:space="preserve">Wasatch landlord consent covering both the 2022 assignment and the Sycamore change of control, with estoppel.</w:t>
      </w:r>
    </w:p>
    <w:p>
      <w:pPr>
        <w:pStyle w:val="Compact"/>
        <w:numPr>
          <w:ilvl w:val="0"/>
          <w:numId w:val="1037"/>
        </w:numPr>
      </w:pPr>
      <w:r>
        <w:t xml:space="preserve">Utah DWM resolution of the UTH-0441 transfer (or written confirmation of authorized operation); issuance of the renewed Casper permit WY-HW-2019-033 (or WDEQ confirmation).</w:t>
      </w:r>
    </w:p>
    <w:p>
      <w:pPr>
        <w:pStyle w:val="Compact"/>
        <w:numPr>
          <w:ilvl w:val="0"/>
          <w:numId w:val="1037"/>
        </w:numPr>
      </w:pPr>
      <w:r>
        <w:t xml:space="preserve">DOE Contracting Officer engagement; Clause H-12 notice plan; no adverse CO communication.</w:t>
      </w:r>
    </w:p>
    <w:p>
      <w:pPr>
        <w:pStyle w:val="Compact"/>
        <w:numPr>
          <w:ilvl w:val="0"/>
          <w:numId w:val="1037"/>
        </w:numPr>
      </w:pPr>
      <w:r>
        <w:t xml:space="preserve">Audited FY2022–FY2024 financial statements (already an LOI condition — verify feasibility immediately given the audit-status conflict).</w:t>
      </w:r>
    </w:p>
    <w:p>
      <w:pPr>
        <w:pStyle w:val="Compact"/>
        <w:numPr>
          <w:ilvl w:val="0"/>
          <w:numId w:val="1037"/>
        </w:numPr>
      </w:pPr>
      <w:r>
        <w:t xml:space="preserve">Updated Phase II ESA and vapor-intrusion assessment; PLL tail bound at closing; all known circumstances noticed to carriers pre-closing.</w:t>
      </w:r>
    </w:p>
    <w:p>
      <w:pPr>
        <w:pStyle w:val="Compact"/>
        <w:numPr>
          <w:ilvl w:val="0"/>
          <w:numId w:val="1037"/>
        </w:numPr>
      </w:pPr>
      <w:r>
        <w:t xml:space="preserve">Landlord consents/estoppels for all consent-required leases; verified facility roster.</w:t>
      </w:r>
    </w:p>
    <w:p>
      <w:pPr>
        <w:pStyle w:val="Compact"/>
        <w:numPr>
          <w:ilvl w:val="0"/>
          <w:numId w:val="1037"/>
        </w:numPr>
      </w:pPr>
      <w:r>
        <w:t xml:space="preserve">Executed new employment/retention and restrictive covenant agreements with key management (LOI §8(g)), curing the C.R.S. § 8-2-113 questions.</w:t>
      </w:r>
    </w:p>
    <w:p>
      <w:pPr>
        <w:pStyle w:val="Compact"/>
        <w:numPr>
          <w:ilvl w:val="0"/>
          <w:numId w:val="1037"/>
        </w:numPr>
      </w:pPr>
      <w:r>
        <w:t xml:space="preserve">Trust instrument review; trustee authority certificate and any required beneficiary consents.</w:t>
      </w:r>
    </w:p>
    <w:p>
      <w:pPr>
        <w:pStyle w:val="FirstParagraph"/>
      </w:pPr>
      <w:r>
        <w:rPr>
          <w:b/>
          <w:bCs/>
        </w:rPr>
        <w:t xml:space="preserve">SPA protections</w:t>
      </w:r>
    </w:p>
    <w:p>
      <w:pPr>
        <w:pStyle w:val="Compact"/>
        <w:numPr>
          <w:ilvl w:val="0"/>
          <w:numId w:val="1038"/>
        </w:numPr>
      </w:pPr>
      <w:r>
        <w:t xml:space="preserve">Specific indemnities (no basket/cap; dedicated escrows beyond the 10% holdback): (a) Grand Junction remediation and vapor intrusion, sized to updated ESA; (b) CDPHE docket CDPHE-HW-2024-0093; (c) asbestos long-tail with extended (10+ year) survival; (d) Ramirez and pre-closing employment claims (incl. FLSA/COMPS); (e) SLC permit/lease gap-period operations; (f) 401(k) correction; (g) pre-closing tax.</w:t>
      </w:r>
    </w:p>
    <w:p>
      <w:pPr>
        <w:pStyle w:val="Compact"/>
        <w:numPr>
          <w:ilvl w:val="0"/>
          <w:numId w:val="1038"/>
        </w:numPr>
      </w:pPr>
      <w:r>
        <w:t xml:space="preserve">Reps: customer schedule accuracy; EBITDA/financial-statement reps without anti-reliance dilution; permit validity/operational authority (incl. Pinnacle facilities); labor (NLRB petition and pre-petition conduct); certification/compliance of HAZWOPER workforce; no undisclosed facilities/leases.</w:t>
      </w:r>
    </w:p>
    <w:p>
      <w:pPr>
        <w:pStyle w:val="Compact"/>
        <w:numPr>
          <w:ilvl w:val="0"/>
          <w:numId w:val="1038"/>
        </w:numPr>
      </w:pPr>
      <w:r>
        <w:t xml:space="preserve">Escrow architecture: retain the 10% general holdback for general reps; add the special escrows above. Note Ramirez trial (Feb 2026) and CDPHE resolution may post-date the 18-month general escrow release — align release mechanics with pending-claim holdbacks.</w:t>
      </w:r>
    </w:p>
    <w:p>
      <w:pPr>
        <w:pStyle w:val="Compact"/>
        <w:numPr>
          <w:ilvl w:val="0"/>
          <w:numId w:val="1038"/>
        </w:numPr>
      </w:pPr>
      <w:r>
        <w:t xml:space="preserve">Interim covenants: notice/consent rights over the NLRB campaign, CDPHE settlement (LOI already restricts settlements &gt;$100K), Harper mediation, DOE communications, and lease renewals (Pueblo).</w:t>
      </w:r>
    </w:p>
    <w:p>
      <w:pPr>
        <w:pStyle w:val="Compact"/>
        <w:numPr>
          <w:ilvl w:val="0"/>
          <w:numId w:val="1038"/>
        </w:numPr>
      </w:pPr>
      <w:r>
        <w:t xml:space="preserve">Preserve fraud carve-out (uncapped, no basket) given the disclosure pattern documented in Section XI.</w:t>
      </w:r>
    </w:p>
    <w:p>
      <w:pPr>
        <w:pStyle w:val="FirstParagraph"/>
      </w:pPr>
      <w:r>
        <w:rPr>
          <w:b/>
          <w:bCs/>
        </w:rPr>
        <w:t xml:space="preserve">Immediate diligence requests</w:t>
      </w:r>
      <w:r>
        <w:t xml:space="preserve"> </w:t>
      </w:r>
      <w:r>
        <w:t xml:space="preserve">— see the</w:t>
      </w:r>
      <w:r>
        <w:t xml:space="preserve"> </w:t>
      </w:r>
      <w:r>
        <w:t xml:space="preserve">“Open Items”</w:t>
      </w:r>
      <w:r>
        <w:t xml:space="preserve"> </w:t>
      </w:r>
      <w:r>
        <w:t xml:space="preserve">tab of the tracker: source contracts for both customer lists; settlement agreements (Clearwater, Harper if any); audit opinions; all executive employment agreements and the March 2022 amendments; trust instrument; full credit agreement and lien searches; NOV and CDPHE correspondence; the two asbestos WC claim files; historical GL policies 2012–2023; 401(k) suspension documentation; verified facility list; NLRB petition.</w:t>
      </w:r>
    </w:p>
    <w:p>
      <w:r>
        <w:pict>
          <v:rect style="width:0;height:1.5pt" o:hralign="center" o:hrstd="t" o:hr="t"/>
        </w:pict>
      </w:r>
    </w:p>
    <w:p>
      <w:pPr>
        <w:pStyle w:val="FirstParagraph"/>
      </w:pPr>
      <w:r>
        <w:rPr>
          <w:i/>
          <w:iCs/>
        </w:rPr>
        <w:t xml:space="preserve">This memorandum is protected by the attorney-client privilege and the work product doctrine. It reflects review of the 13 data room documents listed above as of the date of preparation and is subject to revision as additional materials are produced. Quantifications are indicative and based on Company-prepared data that, as detailed herein, contains material internal inconsistencies.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2026-08-12T17:56:35Z</dcterms:created>
  <dcterms:modified xsi:type="dcterms:W3CDTF">2026-08-12T17:56:35Z</dcterms:modified>
</cp:coreProperties>
</file>

<file path=docProps/custom.xml><?xml version="1.0" encoding="utf-8"?>
<Properties xmlns="http://schemas.openxmlformats.org/officeDocument/2006/custom-properties" xmlns:vt="http://schemas.openxmlformats.org/officeDocument/2006/docPropsVTypes"/>
</file>