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SYNTHETIC TEST DOCUMENT - NOT A REAL CLIENT FILE</w:t>
      </w:r>
    </w:p>
    <w:p>
      <w:pPr>
        <w:jc w:val="center"/>
      </w:pPr>
      <w:r>
        <w:rPr>
          <w:b/>
          <w:sz w:val="32"/>
        </w:rPr>
        <w:t>Chen Family Revocable Trust</w:t>
      </w:r>
    </w:p>
    <w:p>
      <w:pPr>
        <w:jc w:val="center"/>
      </w:pPr>
      <w:r>
        <w:rPr>
          <w:i/>
          <w:sz w:val="20"/>
        </w:rPr>
        <w:t>Synthetic fixture dated May 12, 2016</w:t>
      </w:r>
    </w:p>
    <w:p/>
    <w:p>
      <w:pPr>
        <w:pStyle w:val="Heading2"/>
      </w:pPr>
      <w:r>
        <w:t>Article One. Trust identity and family context</w:t>
      </w:r>
    </w:p>
    <w:p>
      <w:r>
        <w:t>The Chen Family Revocable Trust is dated May 12, 2016, as amended on</w:t>
        <w:br/>
        <w:t>September 3, 2022. The settlors are Maya Chen and Daniel Chen, spouses,</w:t>
        <w:br/>
        <w:t>both residing at 4189 Cedar Harbor Lane, Palo Alto, California 94303.</w:t>
        <w:br/>
        <w:t>This synthetic trust uses real-looking names and addresses only to test</w:t>
        <w:br/>
        <w:t>the local privacy filter.</w:t>
      </w:r>
    </w:p>
    <w:p>
      <w:pPr>
        <w:pStyle w:val="Heading2"/>
      </w:pPr>
      <w:r>
        <w:t>Article Two. Successor trustee appointments</w:t>
      </w:r>
    </w:p>
    <w:p>
      <w:r>
        <w:t>Maya Chen shall act as initial trustee while living and competent.</w:t>
        <w:br/>
        <w:t>Upon Maya Chen's incapacity or death, Daniel Chen shall serve as first</w:t>
        <w:br/>
        <w:t>successor trustee. If Daniel Chen cannot serve, Priya Shah shall serve</w:t>
        <w:br/>
        <w:t>as backup successor trustee. The trustee is a fiduciary and must act</w:t>
        <w:br/>
        <w:t>solely for the beneficiaries.</w:t>
      </w:r>
    </w:p>
    <w:p>
      <w:pPr>
        <w:pStyle w:val="Heading2"/>
      </w:pPr>
      <w:r>
        <w:t>Article Three. Distributions and health support</w:t>
      </w:r>
    </w:p>
    <w:p>
      <w:r>
        <w:t>During incapacity, the trustee may pay health, support, maintenance,</w:t>
        <w:br/>
        <w:t>education, placement, in-home care, and medical expenses for the</w:t>
        <w:br/>
        <w:t>surviving settlor and dependent beneficiaries. The trustee may rely on</w:t>
        <w:br/>
        <w:t>a HIPAA release or health care agent certification when coordinating</w:t>
        <w:br/>
        <w:t>care expenses.</w:t>
      </w:r>
    </w:p>
    <w:p>
      <w:pPr>
        <w:pStyle w:val="Heading2"/>
      </w:pPr>
      <w:r>
        <w:t>Article Four. Funding schedule and property character</w:t>
      </w:r>
    </w:p>
    <w:p>
      <w:r>
        <w:t>Schedule A funds community property and separate property into one</w:t>
        <w:br/>
        <w:t>administrative schedule without a property-character legend. The 2020</w:t>
        <w:br/>
        <w:t>Solara AI Inc. founder shares, the Palo Alto residence, and the</w:t>
        <w:br/>
        <w:t>Westlake brokerage account are all listed together. No clause states</w:t>
        <w:br/>
        <w:t>whether trust funding changes separate property, community property,</w:t>
        <w:br/>
        <w:t>or reimbursement rights.</w:t>
      </w:r>
    </w:p>
    <w:p>
      <w:pPr>
        <w:pStyle w:val="Heading2"/>
      </w:pPr>
      <w:r>
        <w:t>Article Five. Incapacity trigger</w:t>
      </w:r>
    </w:p>
    <w:p>
      <w:r>
        <w:t>Incapacity requires written certification by two licensed physicians</w:t>
        <w:br/>
        <w:t>or a court determination. The trustee may also treat a settlor as</w:t>
        <w:br/>
        <w:t>incapacitated if the settlor cannot manage financial affairs for</w:t>
        <w:br/>
        <w:t>thirty consecutive days.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 Family Revocable Trust</dc:title>
  <dc:subject/>
  <dc:creator>Drafting Magic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