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SYNTHETIC TEST DOCUMENT - NOT A REAL CLIENT FILE</w:t>
      </w:r>
    </w:p>
    <w:p>
      <w:pPr>
        <w:jc w:val="center"/>
      </w:pPr>
      <w:r>
        <w:rPr>
          <w:b/>
          <w:sz w:val="32"/>
        </w:rPr>
        <w:t>Advance Health Care Directive of Maya Chen</w:t>
      </w:r>
    </w:p>
    <w:p>
      <w:pPr>
        <w:jc w:val="center"/>
      </w:pPr>
      <w:r>
        <w:rPr>
          <w:i/>
          <w:sz w:val="20"/>
        </w:rPr>
        <w:t>Synthetic fixture naming Priya Shah first health care agent</w:t>
      </w:r>
    </w:p>
    <w:p/>
    <w:p>
      <w:pPr>
        <w:pStyle w:val="Heading2"/>
      </w:pPr>
      <w:r>
        <w:t>Section One. Health care agent order</w:t>
      </w:r>
    </w:p>
    <w:p>
      <w:r>
        <w:t>Maya Chen names herself as principal and appoints Maya Chen's spouse,</w:t>
        <w:br/>
        <w:t>Daniel Chen, as alternate only if the first agent cannot serve. The</w:t>
        <w:br/>
        <w:t>first health care agent is Priya Shah. This creates an intentional</w:t>
        <w:br/>
        <w:t>agent-order mismatch with the financial power of attorney.</w:t>
      </w:r>
    </w:p>
    <w:p>
      <w:pPr>
        <w:pStyle w:val="Heading2"/>
      </w:pPr>
      <w:r>
        <w:t>Section Two. Treatment and placement authority</w:t>
      </w:r>
    </w:p>
    <w:p>
      <w:r>
        <w:t>The health care agent may make treatment, placement, hospice, pain</w:t>
        <w:br/>
        <w:t>management, end-of-life, anatomical gift, and medical transport</w:t>
        <w:br/>
        <w:t>decisions when Maya Chen cannot make health care decisions. The agent</w:t>
        <w:br/>
        <w:t>may consult with physicians and care managers.</w:t>
      </w:r>
    </w:p>
    <w:p>
      <w:pPr>
        <w:pStyle w:val="Heading2"/>
      </w:pPr>
      <w:r>
        <w:t>Section Three. Privacy release</w:t>
      </w:r>
    </w:p>
    <w:p>
      <w:r>
        <w:t>The privacy release authorizes disclosure of medical information, but</w:t>
        <w:br/>
        <w:t>uses older HIPAA wording and does not mention digital health portals,</w:t>
        <w:br/>
        <w:t>telehealth accounts, or cloud-based pharmacy records.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Health Care Directive of Maya Chen</dc:title>
  <dc:subject/>
  <dc:creator>Drafting Magic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