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SYNTHETIC TEST DOCUMENT - NOT A REAL CLIENT FILE</w:t>
      </w:r>
    </w:p>
    <w:p>
      <w:pPr>
        <w:jc w:val="center"/>
      </w:pPr>
      <w:r>
        <w:rPr>
          <w:b/>
          <w:sz w:val="32"/>
        </w:rPr>
        <w:t>Durable Financial Power of Attorney of Maya Chen</w:t>
      </w:r>
    </w:p>
    <w:p>
      <w:pPr>
        <w:jc w:val="center"/>
      </w:pPr>
      <w:r>
        <w:rPr>
          <w:i/>
          <w:sz w:val="20"/>
        </w:rPr>
        <w:t>Synthetic fixture naming Daniel Chen first financial agent</w:t>
      </w:r>
    </w:p>
    <w:p/>
    <w:p>
      <w:pPr>
        <w:pStyle w:val="Heading2"/>
      </w:pPr>
      <w:r>
        <w:t>Section One. Financial agent order</w:t>
      </w:r>
    </w:p>
    <w:p>
      <w:r>
        <w:t>Daniel Chen is appointed as first financial agent. Elena Park is</w:t>
        <w:br/>
        <w:t>appointed as alternate agent. Priya Shah is not named as financial</w:t>
        <w:br/>
        <w:t>agent. This differs from the advance health care directive and should</w:t>
        <w:br/>
        <w:t>be flagged for attorney review.</w:t>
      </w:r>
    </w:p>
    <w:p>
      <w:pPr>
        <w:pStyle w:val="Heading2"/>
      </w:pPr>
      <w:r>
        <w:t>Section Two. Effective date and incapacity</w:t>
      </w:r>
    </w:p>
    <w:p>
      <w:r>
        <w:t>This durable financial power of attorney is effective immediately and</w:t>
        <w:br/>
        <w:t>remains effective during incapacity. No physician certification is</w:t>
        <w:br/>
        <w:t>required before the agent may manage banking, insurance, benefits,</w:t>
        <w:br/>
        <w:t>tax, retirement, real property, or digital asset matters.</w:t>
      </w:r>
    </w:p>
    <w:p>
      <w:pPr>
        <w:pStyle w:val="Heading2"/>
      </w:pPr>
      <w:r>
        <w:t>Section Three. Gifting and transfers</w:t>
      </w:r>
    </w:p>
    <w:p>
      <w:r>
        <w:t>The agent may make annual exclusion gifts to descendants, but may not</w:t>
        <w:br/>
        <w:t>transfer separate property, community property, or trust funding assets</w:t>
        <w:br/>
        <w:t>in a way that expands spousal waivers without express written consent.</w:t>
        <w:br/>
        <w:t>The agent must honor fiduciary duties.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Durable Financial Power of Attorney of Maya Chen</dc:title>
  <dc:subject/>
  <dc:creator>Drafting Magic 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