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Drafting Magic Estate Packet Draft</w:t>
      </w:r>
    </w:p>
    <w:p>
      <w:pPr>
        <w:spacing w:after="160"/>
        <w:jc w:val="center"/>
      </w:pPr>
      <w:r>
        <w:rPr>
          <w:sz w:val="22"/>
          <w:szCs w:val="22"/>
        </w:rPr>
        <w:t xml:space="preserve">Generated 4/27/2026, 12:12:25 AM</w:t>
      </w:r>
    </w:p>
    <w:p>
      <w:pPr>
        <w:spacing w:before="120" w:after="180"/>
      </w:pPr>
      <w:r>
        <w:rPr>
          <w:sz w:val="22"/>
          <w:szCs w:val="22"/>
        </w:rPr>
        <w:t xml:space="preserve">This DOCX is generated in the browser from the rehydrated attorney preview. The cloud drafter receives tokenized packet text only; do not upload this exported document externally without attorney review.</w:t>
      </w:r>
    </w:p>
    <w:p>
      <w:pPr>
        <w:pBdr>
          <w:bottom w:val="single" w:color="D1D5DB" w:sz="6" w:space="1"/>
        </w:pBdr>
        <w:spacing w:before="120" w:after="120"/>
      </w:pPr>
    </w:p>
    <w:p>
      <w:pPr>
        <w:pStyle w:val="Heading2"/>
        <w:spacing w:before="260" w:after="120"/>
      </w:pPr>
      <w:r>
        <w:t xml:space="preserve">Draft Posture</w:t>
      </w:r>
    </w:p>
    <w:p>
      <w:pPr>
        <w:spacing w:after="90"/>
      </w:pPr>
      <w:r>
        <w:rPr>
          <w:b/>
          <w:bCs/>
          <w:sz w:val="20"/>
          <w:szCs w:val="20"/>
        </w:rPr>
        <w:t xml:space="preserve">Output type: </w:t>
      </w:r>
      <w:r>
        <w:rPr>
          <w:sz w:val="20"/>
          <w:szCs w:val="20"/>
        </w:rPr>
        <w:t xml:space="preserve">Estate plan review memo</w:t>
      </w:r>
    </w:p>
    <w:p>
      <w:pPr>
        <w:spacing w:after="90"/>
      </w:pPr>
      <w:r>
        <w:rPr>
          <w:b/>
          <w:bCs/>
          <w:sz w:val="20"/>
          <w:szCs w:val="20"/>
        </w:rPr>
        <w:t xml:space="preserve">Base strategy: </w:t>
      </w:r>
      <w:r>
        <w:rPr>
          <w:sz w:val="20"/>
          <w:szCs w:val="20"/>
        </w:rPr>
        <w:t xml:space="preserve">Packet reconciliation</w:t>
      </w:r>
    </w:p>
    <w:p>
      <w:pPr>
        <w:spacing w:after="90"/>
      </w:pPr>
      <w:r>
        <w:rPr>
          <w:b/>
          <w:bCs/>
          <w:sz w:val="20"/>
          <w:szCs w:val="20"/>
        </w:rPr>
        <w:t xml:space="preserve">Tone: </w:t>
      </w:r>
      <w:r>
        <w:rPr>
          <w:sz w:val="20"/>
          <w:szCs w:val="20"/>
        </w:rPr>
        <w:t xml:space="preserve">Client-friendly</w:t>
      </w:r>
    </w:p>
    <w:p>
      <w:pPr>
        <w:spacing w:after="90"/>
      </w:pPr>
      <w:r>
        <w:rPr>
          <w:b/>
          <w:bCs/>
          <w:sz w:val="20"/>
          <w:szCs w:val="20"/>
        </w:rPr>
        <w:t xml:space="preserve">Review posture: </w:t>
      </w:r>
      <w:r>
        <w:rPr>
          <w:sz w:val="20"/>
          <w:szCs w:val="20"/>
        </w:rPr>
        <w:t xml:space="preserve">Attorney checklist</w:t>
      </w:r>
    </w:p>
    <w:p>
      <w:pPr>
        <w:spacing w:after="90"/>
      </w:pPr>
      <w:r>
        <w:rPr>
          <w:b/>
          <w:bCs/>
          <w:sz w:val="20"/>
          <w:szCs w:val="20"/>
        </w:rPr>
        <w:t xml:space="preserve">Draft status: </w:t>
      </w:r>
      <w:r>
        <w:rPr>
          <w:sz w:val="20"/>
          <w:szCs w:val="20"/>
        </w:rPr>
        <w:t xml:space="preserve">Needs regeneration</w:t>
      </w:r>
    </w:p>
    <w:p>
      <w:pPr>
        <w:spacing w:after="90"/>
      </w:pPr>
      <w:r>
        <w:rPr>
          <w:b/>
          <w:bCs/>
          <w:sz w:val="20"/>
          <w:szCs w:val="20"/>
        </w:rPr>
        <w:t xml:space="preserve">Sanitization method: </w:t>
      </w:r>
      <w:r>
        <w:rPr>
          <w:sz w:val="20"/>
          <w:szCs w:val="20"/>
        </w:rPr>
        <w:t xml:space="preserve">Not recorded</w:t>
      </w:r>
    </w:p>
    <w:p>
      <w:pPr>
        <w:spacing w:after="160"/>
      </w:pPr>
      <w:r>
        <w:rPr>
          <w:sz w:val="22"/>
          <w:szCs w:val="22"/>
        </w:rPr>
        <w:t xml:space="preserve">New instruction: reconcile the estate-planning packet for a married client, preserve the prenup property classifications, normalize the trust identity across the pour-over will, and flag any agent-order mismatches before drafting.</w:t>
      </w:r>
    </w:p>
    <w:p>
      <w:pPr>
        <w:pStyle w:val="Heading2"/>
        <w:spacing w:before="260" w:after="120"/>
      </w:pPr>
      <w:r>
        <w:t xml:space="preserve">Draft Sections</w:t>
      </w:r>
    </w:p>
    <w:p>
      <w:pPr>
        <w:pStyle w:val="Heading3"/>
        <w:spacing w:before="260" w:after="120"/>
      </w:pPr>
      <w:r>
        <w:t xml:space="preserve">1. Estate Plan Packet Summary</w:t>
      </w:r>
    </w:p>
    <w:p>
      <w:pPr>
        <w:spacing w:after="90"/>
      </w:pPr>
      <w:r>
        <w:rPr>
          <w:b/>
          <w:bCs/>
          <w:sz w:val="20"/>
          <w:szCs w:val="20"/>
        </w:rPr>
        <w:t xml:space="preserve">Status: </w:t>
      </w:r>
      <w:r>
        <w:rPr>
          <w:sz w:val="20"/>
          <w:szCs w:val="20"/>
        </w:rPr>
        <w:t xml:space="preserve">Reviewed</w:t>
      </w:r>
    </w:p>
    <w:p>
      <w:pPr>
        <w:spacing w:after="90"/>
      </w:pPr>
      <w:r>
        <w:rPr>
          <w:b/>
          <w:bCs/>
          <w:sz w:val="20"/>
          <w:szCs w:val="20"/>
        </w:rPr>
        <w:t xml:space="preserve">Lineage: </w:t>
      </w:r>
      <w:r>
        <w:rPr>
          <w:sz w:val="20"/>
          <w:szCs w:val="20"/>
        </w:rPr>
        <w:t xml:space="preserve">Trust, Pour-over will, Financial POA, AHCD, Prenup</w:t>
      </w:r>
    </w:p>
    <w:p>
      <w:pPr>
        <w:spacing w:after="90"/>
      </w:pPr>
      <w:r>
        <w:rPr>
          <w:b/>
          <w:bCs/>
          <w:sz w:val="20"/>
          <w:szCs w:val="20"/>
        </w:rPr>
        <w:t xml:space="preserve">Requirements: </w:t>
      </w:r>
      <w:r>
        <w:rPr>
          <w:sz w:val="20"/>
          <w:szCs w:val="20"/>
        </w:rPr>
        <w:t xml:space="preserve">Cross-document consistency, attorney review flags</w:t>
      </w:r>
    </w:p>
    <w:p>
      <w:pPr>
        <w:spacing w:after="160"/>
      </w:pPr>
      <w:r>
        <w:rPr>
          <w:sz w:val="22"/>
          <w:szCs w:val="22"/>
        </w:rPr>
        <w:t xml:space="preserve">This draft reconciles the trust, pour-over will, health care directive, financial power of attorney, and prenuptial agreement as one estate-planning packet. It preserves the trust as the base document while flagging fiduciary mismatches, property-character issues, and agent-authority differences for attorney review.</w:t>
      </w:r>
    </w:p>
    <w:p>
      <w:pPr>
        <w:pStyle w:val="Heading3"/>
        <w:spacing w:before="260" w:after="120"/>
      </w:pPr>
      <w:r>
        <w:t xml:space="preserve">2. Funding and Property Characterization</w:t>
      </w:r>
    </w:p>
    <w:p>
      <w:pPr>
        <w:spacing w:after="90"/>
      </w:pPr>
      <w:r>
        <w:rPr>
          <w:b/>
          <w:bCs/>
          <w:sz w:val="20"/>
          <w:szCs w:val="20"/>
        </w:rPr>
        <w:t xml:space="preserve">Status: </w:t>
      </w:r>
      <w:r>
        <w:rPr>
          <w:sz w:val="20"/>
          <w:szCs w:val="20"/>
        </w:rPr>
        <w:t xml:space="preserve">Generated</w:t>
      </w:r>
    </w:p>
    <w:p>
      <w:pPr>
        <w:spacing w:after="90"/>
      </w:pPr>
      <w:r>
        <w:rPr>
          <w:b/>
          <w:bCs/>
          <w:sz w:val="20"/>
          <w:szCs w:val="20"/>
        </w:rPr>
        <w:t xml:space="preserve">Lineage: </w:t>
      </w:r>
      <w:r>
        <w:rPr>
          <w:sz w:val="20"/>
          <w:szCs w:val="20"/>
        </w:rPr>
        <w:t xml:space="preserve">Revocable living trust, Prenuptial agreement, Pour-over will</w:t>
      </w:r>
    </w:p>
    <w:p>
      <w:pPr>
        <w:spacing w:after="90"/>
      </w:pPr>
      <w:r>
        <w:rPr>
          <w:b/>
          <w:bCs/>
          <w:sz w:val="20"/>
          <w:szCs w:val="20"/>
        </w:rPr>
        <w:t xml:space="preserve">Requirements: </w:t>
      </w:r>
      <w:r>
        <w:rPr>
          <w:sz w:val="20"/>
          <w:szCs w:val="20"/>
        </w:rPr>
        <w:t xml:space="preserve">Separate-property guardrails, pour-over alignment</w:t>
      </w:r>
    </w:p>
    <w:p>
      <w:pPr>
        <w:spacing w:after="160"/>
      </w:pPr>
      <w:r>
        <w:rPr>
          <w:sz w:val="22"/>
          <w:szCs w:val="22"/>
        </w:rPr>
        <w:t xml:space="preserve">The trust funding language should carry forward the prenup classifications instead of treating all scheduled property the same way. The pour-over will can remain structurally intact, but the signing packet should use one trust identity and call out any separate-property carveouts before execution.</w:t>
      </w:r>
    </w:p>
    <w:p>
      <w:pPr>
        <w:pStyle w:val="Heading3"/>
        <w:spacing w:before="260" w:after="120"/>
      </w:pPr>
      <w:r>
        <w:t xml:space="preserve">3. Fiduciary and Agent Authority</w:t>
      </w:r>
    </w:p>
    <w:p>
      <w:pPr>
        <w:spacing w:after="90"/>
      </w:pPr>
      <w:r>
        <w:rPr>
          <w:b/>
          <w:bCs/>
          <w:sz w:val="20"/>
          <w:szCs w:val="20"/>
        </w:rPr>
        <w:t xml:space="preserve">Status: </w:t>
      </w:r>
      <w:r>
        <w:rPr>
          <w:sz w:val="20"/>
          <w:szCs w:val="20"/>
        </w:rPr>
        <w:t xml:space="preserve">Needs review</w:t>
      </w:r>
    </w:p>
    <w:p>
      <w:pPr>
        <w:spacing w:after="90"/>
      </w:pPr>
      <w:r>
        <w:rPr>
          <w:b/>
          <w:bCs/>
          <w:sz w:val="20"/>
          <w:szCs w:val="20"/>
        </w:rPr>
        <w:t xml:space="preserve">Lineage: </w:t>
      </w:r>
      <w:r>
        <w:rPr>
          <w:sz w:val="20"/>
          <w:szCs w:val="20"/>
        </w:rPr>
        <w:t xml:space="preserve">Trust, Financial POA, AHCD</w:t>
      </w:r>
    </w:p>
    <w:p>
      <w:pPr>
        <w:spacing w:after="90"/>
      </w:pPr>
      <w:r>
        <w:rPr>
          <w:b/>
          <w:bCs/>
          <w:sz w:val="20"/>
          <w:szCs w:val="20"/>
        </w:rPr>
        <w:t xml:space="preserve">Requirements: </w:t>
      </w:r>
      <w:r>
        <w:rPr>
          <w:sz w:val="20"/>
          <w:szCs w:val="20"/>
        </w:rPr>
        <w:t xml:space="preserve">Incapacity standard, privacy release, agent ordering</w:t>
      </w:r>
    </w:p>
    <w:p>
      <w:pPr>
        <w:spacing w:after="160"/>
      </w:pPr>
      <w:r>
        <w:rPr>
          <w:sz w:val="22"/>
          <w:szCs w:val="22"/>
        </w:rPr>
        <w:t xml:space="preserve">The fiduciary chart should show trustee, financial agent, and health care agent roles separately. The documents can intentionally use different triggers, but the client summary should explain those differences and flag the AHCD privacy-release update before export.</w:t>
      </w:r>
    </w:p>
    <w:p>
      <w:pPr>
        <w:pStyle w:val="Heading2"/>
        <w:spacing w:before="260" w:after="120"/>
      </w:pPr>
      <w:r>
        <w:t xml:space="preserve">Attorney Review Checklist</w:t>
      </w:r>
    </w:p>
    <w:p>
      <w:pPr>
        <w:pStyle w:val="Heading3"/>
        <w:spacing w:before="260" w:after="120"/>
      </w:pPr>
      <w:r>
        <w:t xml:space="preserve">1. All five estate-planning source documents included</w:t>
      </w:r>
    </w:p>
    <w:p>
      <w:pPr>
        <w:spacing w:after="90"/>
      </w:pPr>
      <w:r>
        <w:rPr>
          <w:b/>
          <w:bCs/>
          <w:sz w:val="20"/>
          <w:szCs w:val="20"/>
        </w:rPr>
        <w:t xml:space="preserve">Status: </w:t>
      </w:r>
      <w:r>
        <w:rPr>
          <w:sz w:val="20"/>
          <w:szCs w:val="20"/>
        </w:rPr>
        <w:t xml:space="preserve">Satisfied</w:t>
      </w:r>
    </w:p>
    <w:p>
      <w:pPr>
        <w:spacing w:after="90"/>
      </w:pPr>
      <w:r>
        <w:rPr>
          <w:b/>
          <w:bCs/>
          <w:sz w:val="20"/>
          <w:szCs w:val="20"/>
        </w:rPr>
        <w:t xml:space="preserve">Draft location: </w:t>
      </w:r>
      <w:r>
        <w:rPr>
          <w:sz w:val="20"/>
          <w:szCs w:val="20"/>
        </w:rPr>
        <w:t xml:space="preserve">Estate Plan Packet Summary</w:t>
      </w:r>
    </w:p>
    <w:p>
      <w:pPr>
        <w:spacing w:after="160"/>
      </w:pPr>
      <w:r>
        <w:rPr>
          <w:sz w:val="22"/>
          <w:szCs w:val="22"/>
        </w:rPr>
        <w:t xml:space="preserve">Trust, pour-over will, AHCD, financial POA, and prenup are all represented in the source library and lineage.</w:t>
      </w:r>
    </w:p>
    <w:p>
      <w:pPr>
        <w:pStyle w:val="Heading3"/>
        <w:spacing w:before="260" w:after="120"/>
      </w:pPr>
      <w:r>
        <w:t xml:space="preserve">2. Preserve prenup property-character restrictions</w:t>
      </w:r>
    </w:p>
    <w:p>
      <w:pPr>
        <w:spacing w:after="90"/>
      </w:pPr>
      <w:r>
        <w:rPr>
          <w:b/>
          <w:bCs/>
          <w:sz w:val="20"/>
          <w:szCs w:val="20"/>
        </w:rPr>
        <w:t xml:space="preserve">Status: </w:t>
      </w:r>
      <w:r>
        <w:rPr>
          <w:sz w:val="20"/>
          <w:szCs w:val="20"/>
        </w:rPr>
        <w:t xml:space="preserve">Satisfied</w:t>
      </w:r>
    </w:p>
    <w:p>
      <w:pPr>
        <w:spacing w:after="90"/>
      </w:pPr>
      <w:r>
        <w:rPr>
          <w:b/>
          <w:bCs/>
          <w:sz w:val="20"/>
          <w:szCs w:val="20"/>
        </w:rPr>
        <w:t xml:space="preserve">Draft location: </w:t>
      </w:r>
      <w:r>
        <w:rPr>
          <w:sz w:val="20"/>
          <w:szCs w:val="20"/>
        </w:rPr>
        <w:t xml:space="preserve">Funding and Property Characterization</w:t>
      </w:r>
    </w:p>
    <w:p>
      <w:pPr>
        <w:spacing w:after="160"/>
      </w:pPr>
      <w:r>
        <w:rPr>
          <w:sz w:val="22"/>
          <w:szCs w:val="22"/>
        </w:rPr>
        <w:t xml:space="preserve">Draft warns that trust funding language must not blur separate-property treatment created by the prenup.</w:t>
      </w:r>
    </w:p>
    <w:p>
      <w:pPr>
        <w:pStyle w:val="Heading3"/>
        <w:spacing w:before="260" w:after="120"/>
      </w:pPr>
      <w:r>
        <w:t xml:space="preserve">3. Resolve AHCD and financial POA agent-order mismatch</w:t>
      </w:r>
    </w:p>
    <w:p>
      <w:pPr>
        <w:spacing w:after="90"/>
      </w:pPr>
      <w:r>
        <w:rPr>
          <w:b/>
          <w:bCs/>
          <w:sz w:val="20"/>
          <w:szCs w:val="20"/>
        </w:rPr>
        <w:t xml:space="preserve">Status: </w:t>
      </w:r>
      <w:r>
        <w:rPr>
          <w:sz w:val="20"/>
          <w:szCs w:val="20"/>
        </w:rPr>
        <w:t xml:space="preserve">Needs review</w:t>
      </w:r>
    </w:p>
    <w:p>
      <w:pPr>
        <w:spacing w:after="90"/>
      </w:pPr>
      <w:r>
        <w:rPr>
          <w:b/>
          <w:bCs/>
          <w:sz w:val="20"/>
          <w:szCs w:val="20"/>
        </w:rPr>
        <w:t xml:space="preserve">Draft location: </w:t>
      </w:r>
      <w:r>
        <w:rPr>
          <w:sz w:val="20"/>
          <w:szCs w:val="20"/>
        </w:rPr>
        <w:t xml:space="preserve">Fiduciary and Agent Authority</w:t>
      </w:r>
    </w:p>
    <w:p>
      <w:pPr>
        <w:spacing w:after="160"/>
      </w:pPr>
      <w:r>
        <w:rPr>
          <w:sz w:val="22"/>
          <w:szCs w:val="22"/>
        </w:rPr>
        <w:t xml:space="preserve">AHCD and financial POA appoint different first agents. Attorney confirmation required.</w:t>
      </w:r>
    </w:p>
    <w:p>
      <w:pPr>
        <w:pStyle w:val="Heading3"/>
        <w:spacing w:before="260" w:after="120"/>
      </w:pPr>
      <w:r>
        <w:t xml:space="preserve">4. Explain different incapacity triggers across documents</w:t>
      </w:r>
    </w:p>
    <w:p>
      <w:pPr>
        <w:spacing w:after="90"/>
      </w:pPr>
      <w:r>
        <w:rPr>
          <w:b/>
          <w:bCs/>
          <w:sz w:val="20"/>
          <w:szCs w:val="20"/>
        </w:rPr>
        <w:t xml:space="preserve">Status: </w:t>
      </w:r>
      <w:r>
        <w:rPr>
          <w:sz w:val="20"/>
          <w:szCs w:val="20"/>
        </w:rPr>
        <w:t xml:space="preserve">Partial</w:t>
      </w:r>
    </w:p>
    <w:p>
      <w:pPr>
        <w:spacing w:after="90"/>
      </w:pPr>
      <w:r>
        <w:rPr>
          <w:b/>
          <w:bCs/>
          <w:sz w:val="20"/>
          <w:szCs w:val="20"/>
        </w:rPr>
        <w:t xml:space="preserve">Draft location: </w:t>
      </w:r>
      <w:r>
        <w:rPr>
          <w:sz w:val="20"/>
          <w:szCs w:val="20"/>
        </w:rPr>
        <w:t xml:space="preserve">Fiduciary and Agent Authority</w:t>
      </w:r>
    </w:p>
    <w:p>
      <w:pPr>
        <w:spacing w:after="160"/>
      </w:pPr>
      <w:r>
        <w:rPr>
          <w:sz w:val="22"/>
          <w:szCs w:val="22"/>
        </w:rPr>
        <w:t xml:space="preserve">Trust, POA, and AHCD standards are surfaced, but final wording awaits attorney approval.</w:t>
      </w:r>
    </w:p>
    <w:p>
      <w:pPr>
        <w:pStyle w:val="Heading2"/>
        <w:spacing w:before="260" w:after="120"/>
      </w:pPr>
      <w:r>
        <w:t xml:space="preserve">Source Lineage</w:t>
      </w:r>
    </w:p>
    <w:p>
      <w:pPr>
        <w:spacing w:after="90"/>
      </w:pPr>
      <w:r>
        <w:rPr>
          <w:b/>
          <w:bCs/>
          <w:sz w:val="20"/>
          <w:szCs w:val="20"/>
        </w:rPr>
        <w:t xml:space="preserve">1. Financial POA: </w:t>
      </w:r>
      <w:r>
        <w:rPr>
          <w:sz w:val="20"/>
          <w:szCs w:val="20"/>
        </w:rPr>
        <w:t xml:space="preserve">Durable financial power of attorney (DOCX, supporting document, Ready)</w:t>
      </w:r>
    </w:p>
    <w:p>
      <w:pPr>
        <w:pStyle w:val="Heading2"/>
        <w:spacing w:before="260" w:after="120"/>
      </w:pPr>
      <w:r>
        <w:t xml:space="preserve">Decision Matrix Summary</w:t>
      </w:r>
    </w:p>
    <w:p>
      <w:pPr>
        <w:spacing w:after="160"/>
      </w:pPr>
      <w:r>
        <w:rPr>
          <w:sz w:val="22"/>
          <w:szCs w:val="22"/>
        </w:rPr>
        <w:t xml:space="preserve">1. Successor fiduciary alignment - Revise (High, approved). Attorney-provided update requires clear incapacity trigger and acceptance language for successor fiduciaries. Keep the named people, but expose the mismatch so the attorney can confirm whether financial and health care authority should intentionally diverge.</w:t>
      </w:r>
    </w:p>
    <w:p>
      <w:pPr>
        <w:spacing w:after="160"/>
      </w:pPr>
      <w:r>
        <w:rPr>
          <w:sz w:val="22"/>
          <w:szCs w:val="22"/>
        </w:rPr>
        <w:t xml:space="preserve">2. Separate property funding guardrails - Revise (High, approved). New drafting instruction: preserve prenup classifications in funding, schedules, and distribution notes. The trust can remain the main vehicle, but funding language should not blur separate-property treatment created by the prenup.</w:t>
      </w:r>
    </w:p>
    <w:p>
      <w:pPr>
        <w:spacing w:after="160"/>
      </w:pPr>
      <w:r>
        <w:rPr>
          <w:sz w:val="22"/>
          <w:szCs w:val="22"/>
        </w:rPr>
        <w:t xml:space="preserve">3. Pour-over residuary alignment - Keep (Medium, approved). New execution packet should use one trust identity across will, trust, certificates, and signing memo. The pour-over structure is sound; the generated packet should normalize the trust name/date and flag funding carveouts.</w:t>
      </w:r>
    </w:p>
    <w:p>
      <w:pPr>
        <w:spacing w:after="160"/>
      </w:pPr>
      <w:r>
        <w:rPr>
          <w:sz w:val="22"/>
          <w:szCs w:val="22"/>
        </w:rPr>
        <w:t xml:space="preserve">4. Health care authority and privacy release - Add (Medium, open). Attorney-provided update calls for modern privacy authorization and agent-access language. Add a review item so the AHCD privacy release, insurance authority, and trustee payment authority work together without merging roles.</w:t>
      </w:r>
    </w:p>
    <w:p>
      <w:pPr>
        <w:spacing w:after="160"/>
      </w:pPr>
      <w:r>
        <w:rPr>
          <w:sz w:val="22"/>
          <w:szCs w:val="22"/>
        </w:rPr>
        <w:t xml:space="preserve">5. Incapacity standard - Review (High, open). New drafting instruction asks for consistent incapacity explanations in the client-facing summary. The legal triggers do not need to be identical, but the attorney should explain why health, financial, and trust triggers differ.</w:t>
      </w:r>
    </w:p>
    <w:p>
      <w:pPr>
        <w:spacing w:after="160"/>
      </w:pPr>
      <w:r>
        <w:rPr>
          <w:sz w:val="22"/>
          <w:szCs w:val="22"/>
        </w:rPr>
        <w:t xml:space="preserve">6. Spousal waiver boundaries - Review (Low, open). New drafting instruction requires the estate plan to honor, not silently expand, prenup waivers. Attorney should confirm whether gifting powers, trust distributions, and waivers remain inside the negotiated prenup boundaries.</w:t>
      </w:r>
    </w:p>
    <w:p>
      <w:pPr>
        <w:spacing w:after="160"/>
      </w:pPr>
      <w:r>
        <w:rPr>
          <w:sz w:val="22"/>
          <w:szCs w:val="22"/>
        </w:rPr>
        <w:t xml:space="preserve">Open attorney decisions remaining: Health care authority and privacy release; Incapacity standard; Spousal waiver boundaries.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Magic Estate Packet Draft</dc:title>
  <dc:creator>Drafting Magic</dc:creator>
  <dc:description>Browser-side export of the rehydrated Drafting Magic draft package.</dc:description>
  <cp:lastModifiedBy>Un-named</cp:lastModifiedBy>
  <cp:revision>1</cp:revision>
  <dcterms:created xsi:type="dcterms:W3CDTF">2026-04-27T07:12:25.712Z</dcterms:created>
  <dcterms:modified xsi:type="dcterms:W3CDTF">2026-04-27T07:12:25.712Z</dcterms:modified>
</cp:coreProperties>
</file>

<file path=docProps/custom.xml><?xml version="1.0" encoding="utf-8"?>
<Properties xmlns="http://schemas.openxmlformats.org/officeDocument/2006/custom-properties" xmlns:vt="http://schemas.openxmlformats.org/officeDocument/2006/docPropsVTypes"/>
</file>