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APOLLO HOSPITAL</w:t>
      </w:r>
    </w:p>
    <w:p>
      <w:pPr>
        <w:spacing w:after="40"/>
        <w:jc w:val="center"/>
      </w:pPr>
      <w:r>
        <w:rPr>
          <w:rFonts w:ascii="Calibri" w:cs="Calibri" w:eastAsia="Calibri" w:hAnsi="Calibri"/>
          <w:color w:val="6B6B6B"/>
          <w:sz w:val="19"/>
          <w:szCs w:val="19"/>
        </w:rPr>
        <w:t xml:space="preserve">Department of Endocrinology  |  Chennai</w:t>
      </w:r>
    </w:p>
    <w:p>
      <w:pPr>
        <w:spacing w:after="160"/>
        <w:jc w:val="center"/>
      </w:pPr>
      <w:r>
        <w:rPr>
          <w:i/>
          <w:iCs/>
          <w:color w:val="6B6B6B"/>
          <w:sz w:val="15"/>
          <w:szCs w:val="15"/>
        </w:rPr>
        <w:t xml:space="preserve">Synthetic sample record generated for research / software-testing purposes only — not an actual patient</w:t>
      </w:r>
    </w:p>
    <w:p>
      <w:pPr>
        <w:pBdr>
          <w:bottom w:val="single" w:color="1F3864" w:sz="12" w:space="4"/>
        </w:pBdr>
        <w:spacing w:after="200"/>
      </w:pPr>
      <w:r>
        <w:t xml:space="preserve"/>
      </w:r>
    </w:p>
    <w:p>
      <w:pPr>
        <w:spacing w:after="240"/>
        <w:jc w:val="center"/>
      </w:pPr>
      <w:r>
        <w:rPr>
          <w:rFonts w:ascii="Calibri" w:cs="Calibri" w:eastAsia="Calibri" w:hAnsi="Calibri"/>
          <w:b/>
          <w:bCs/>
          <w:color w:val="000000"/>
          <w:sz w:val="26"/>
          <w:szCs w:val="26"/>
        </w:rPr>
        <w:t xml:space="preserve">DISCHARGE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13"/>
        <w:gridCol w:w="1500"/>
        <w:gridCol w:w="3013"/>
      </w:tblGrid>
      <w:tr>
        <w:tc>
          <w:tcPr>
            <w:tcW w:type="dxa" w:w="1500"/>
            <w:shd w:fill="EAF0F6" w:color="auto" w:val="clear"/>
            <w:tcMar>
              <w:top w:type="dxa" w:w="60"/>
              <w:left w:type="dxa" w:w="120"/>
              <w:bottom w:type="dxa" w:w="60"/>
              <w:right w:type="dxa" w:w="120"/>
            </w:tcMar>
            <w:vAlign w:val="center"/>
          </w:tcPr>
          <w:p>
            <w:r>
              <w:rPr>
                <w:b/>
                <w:bCs/>
                <w:sz w:val="19"/>
                <w:szCs w:val="19"/>
              </w:rPr>
              <w:t xml:space="preserve">Patient Name</w:t>
            </w:r>
          </w:p>
        </w:tc>
        <w:tc>
          <w:tcPr>
            <w:tcW w:type="dxa" w:w="3013"/>
            <w:tcMar>
              <w:top w:type="dxa" w:w="60"/>
              <w:left w:type="dxa" w:w="120"/>
              <w:bottom w:type="dxa" w:w="60"/>
              <w:right w:type="dxa" w:w="120"/>
            </w:tcMar>
            <w:vAlign w:val="center"/>
          </w:tcPr>
          <w:p>
            <w:r>
              <w:rPr>
                <w:sz w:val="19"/>
                <w:szCs w:val="19"/>
              </w:rPr>
              <w:t xml:space="preserve">Veena Kumari</w:t>
            </w:r>
          </w:p>
        </w:tc>
        <w:tc>
          <w:tcPr>
            <w:tcW w:type="dxa" w:w="1500"/>
            <w:shd w:fill="EAF0F6" w:color="auto" w:val="clear"/>
            <w:tcMar>
              <w:top w:type="dxa" w:w="60"/>
              <w:left w:type="dxa" w:w="120"/>
              <w:bottom w:type="dxa" w:w="60"/>
              <w:right w:type="dxa" w:w="120"/>
            </w:tcMar>
            <w:vAlign w:val="center"/>
          </w:tcPr>
          <w:p>
            <w:r>
              <w:rPr>
                <w:b/>
                <w:bCs/>
                <w:sz w:val="19"/>
                <w:szCs w:val="19"/>
              </w:rPr>
              <w:t xml:space="preserve">Age / Sex</w:t>
            </w:r>
          </w:p>
        </w:tc>
        <w:tc>
          <w:tcPr>
            <w:tcW w:type="dxa" w:w="3013"/>
            <w:tcMar>
              <w:top w:type="dxa" w:w="60"/>
              <w:left w:type="dxa" w:w="120"/>
              <w:bottom w:type="dxa" w:w="60"/>
              <w:right w:type="dxa" w:w="120"/>
            </w:tcMar>
            <w:vAlign w:val="center"/>
          </w:tcPr>
          <w:p>
            <w:r>
              <w:rPr>
                <w:sz w:val="19"/>
                <w:szCs w:val="19"/>
              </w:rPr>
              <w:t xml:space="preserve">54 Years / Female</w:t>
            </w:r>
          </w:p>
        </w:tc>
      </w:tr>
      <w:tr>
        <w:tc>
          <w:tcPr>
            <w:tcW w:type="dxa" w:w="1500"/>
            <w:shd w:fill="EAF0F6" w:color="auto" w:val="clear"/>
            <w:tcMar>
              <w:top w:type="dxa" w:w="60"/>
              <w:left w:type="dxa" w:w="120"/>
              <w:bottom w:type="dxa" w:w="60"/>
              <w:right w:type="dxa" w:w="120"/>
            </w:tcMar>
            <w:vAlign w:val="center"/>
          </w:tcPr>
          <w:p>
            <w:r>
              <w:rPr>
                <w:b/>
                <w:bCs/>
                <w:sz w:val="19"/>
                <w:szCs w:val="19"/>
              </w:rPr>
              <w:t xml:space="preserve">UHID</w:t>
            </w:r>
          </w:p>
        </w:tc>
        <w:tc>
          <w:tcPr>
            <w:tcW w:type="dxa" w:w="3013"/>
            <w:tcMar>
              <w:top w:type="dxa" w:w="60"/>
              <w:left w:type="dxa" w:w="120"/>
              <w:bottom w:type="dxa" w:w="60"/>
              <w:right w:type="dxa" w:w="120"/>
            </w:tcMar>
            <w:vAlign w:val="center"/>
          </w:tcPr>
          <w:p>
            <w:r>
              <w:rPr>
                <w:sz w:val="19"/>
                <w:szCs w:val="19"/>
              </w:rPr>
              <w:t xml:space="preserve">635180249</w:t>
            </w:r>
          </w:p>
        </w:tc>
        <w:tc>
          <w:tcPr>
            <w:tcW w:type="dxa" w:w="1500"/>
            <w:shd w:fill="EAF0F6" w:color="auto" w:val="clear"/>
            <w:tcMar>
              <w:top w:type="dxa" w:w="60"/>
              <w:left w:type="dxa" w:w="120"/>
              <w:bottom w:type="dxa" w:w="60"/>
              <w:right w:type="dxa" w:w="120"/>
            </w:tcMar>
            <w:vAlign w:val="center"/>
          </w:tcPr>
          <w:p>
            <w:r>
              <w:rPr>
                <w:b/>
                <w:bCs/>
                <w:sz w:val="19"/>
                <w:szCs w:val="19"/>
              </w:rPr>
              <w:t xml:space="preserve">Admission No.</w:t>
            </w:r>
          </w:p>
        </w:tc>
        <w:tc>
          <w:tcPr>
            <w:tcW w:type="dxa" w:w="3013"/>
            <w:tcMar>
              <w:top w:type="dxa" w:w="60"/>
              <w:left w:type="dxa" w:w="120"/>
              <w:bottom w:type="dxa" w:w="60"/>
              <w:right w:type="dxa" w:w="120"/>
            </w:tcMar>
            <w:vAlign w:val="center"/>
          </w:tcPr>
          <w:p>
            <w:r>
              <w:rPr>
                <w:sz w:val="19"/>
                <w:szCs w:val="19"/>
              </w:rPr>
              <w:t xml:space="preserve">ADM-20268547</w:t>
            </w:r>
          </w:p>
        </w:tc>
      </w:tr>
      <w:tr>
        <w:tc>
          <w:tcPr>
            <w:tcW w:type="dxa" w:w="1500"/>
            <w:shd w:fill="EAF0F6" w:color="auto" w:val="clear"/>
            <w:tcMar>
              <w:top w:type="dxa" w:w="60"/>
              <w:left w:type="dxa" w:w="120"/>
              <w:bottom w:type="dxa" w:w="60"/>
              <w:right w:type="dxa" w:w="120"/>
            </w:tcMar>
            <w:vAlign w:val="center"/>
          </w:tcPr>
          <w:p>
            <w:r>
              <w:rPr>
                <w:b/>
                <w:bCs/>
                <w:sz w:val="19"/>
                <w:szCs w:val="19"/>
              </w:rPr>
              <w:t xml:space="preserve">Address</w:t>
            </w:r>
          </w:p>
        </w:tc>
        <w:tc>
          <w:tcPr>
            <w:tcW w:type="dxa" w:w="3013"/>
            <w:tcMar>
              <w:top w:type="dxa" w:w="60"/>
              <w:left w:type="dxa" w:w="120"/>
              <w:bottom w:type="dxa" w:w="60"/>
              <w:right w:type="dxa" w:w="120"/>
            </w:tcMar>
            <w:vAlign w:val="center"/>
          </w:tcPr>
          <w:p>
            <w:r>
              <w:rPr>
                <w:sz w:val="19"/>
                <w:szCs w:val="19"/>
              </w:rPr>
              <w:t xml:space="preserve">Anna Nagar, Chennai</w:t>
            </w:r>
          </w:p>
        </w:tc>
        <w:tc>
          <w:tcPr>
            <w:tcW w:type="dxa" w:w="1500"/>
            <w:shd w:fill="EAF0F6" w:color="auto" w:val="clear"/>
            <w:tcMar>
              <w:top w:type="dxa" w:w="60"/>
              <w:left w:type="dxa" w:w="120"/>
              <w:bottom w:type="dxa" w:w="60"/>
              <w:right w:type="dxa" w:w="120"/>
            </w:tcMar>
            <w:vAlign w:val="center"/>
          </w:tcPr>
          <w:p>
            <w:r>
              <w:rPr>
                <w:b/>
                <w:bCs/>
                <w:sz w:val="19"/>
                <w:szCs w:val="19"/>
              </w:rPr>
              <w:t xml:space="preserve">Socio-Economic Status</w:t>
            </w:r>
          </w:p>
        </w:tc>
        <w:tc>
          <w:tcPr>
            <w:tcW w:type="dxa" w:w="3013"/>
            <w:tcMar>
              <w:top w:type="dxa" w:w="60"/>
              <w:left w:type="dxa" w:w="120"/>
              <w:bottom w:type="dxa" w:w="60"/>
              <w:right w:type="dxa" w:w="120"/>
            </w:tcMar>
            <w:vAlign w:val="center"/>
          </w:tcPr>
          <w:p>
            <w:r>
              <w:rPr>
                <w:sz w:val="19"/>
                <w:szCs w:val="19"/>
              </w:rPr>
              <w:t xml:space="preserve">Class III (Modified Kuppuswamy Scale)</w:t>
            </w:r>
          </w:p>
        </w:tc>
      </w:tr>
      <w:tr>
        <w:tc>
          <w:tcPr>
            <w:tcW w:type="dxa" w:w="1500"/>
            <w:shd w:fill="EAF0F6" w:color="auto" w:val="clear"/>
            <w:tcMar>
              <w:top w:type="dxa" w:w="60"/>
              <w:left w:type="dxa" w:w="120"/>
              <w:bottom w:type="dxa" w:w="60"/>
              <w:right w:type="dxa" w:w="120"/>
            </w:tcMar>
            <w:vAlign w:val="center"/>
          </w:tcPr>
          <w:p>
            <w:r>
              <w:rPr>
                <w:b/>
                <w:bCs/>
                <w:sz w:val="19"/>
                <w:szCs w:val="19"/>
              </w:rPr>
              <w:t xml:space="preserve">Admission Date</w:t>
            </w:r>
          </w:p>
        </w:tc>
        <w:tc>
          <w:tcPr>
            <w:tcW w:type="dxa" w:w="3013"/>
            <w:tcMar>
              <w:top w:type="dxa" w:w="60"/>
              <w:left w:type="dxa" w:w="120"/>
              <w:bottom w:type="dxa" w:w="60"/>
              <w:right w:type="dxa" w:w="120"/>
            </w:tcMar>
            <w:vAlign w:val="center"/>
          </w:tcPr>
          <w:p>
            <w:r>
              <w:rPr>
                <w:sz w:val="19"/>
                <w:szCs w:val="19"/>
              </w:rPr>
              <w:t xml:space="preserve">03/02/2026, 09:00 AM</w:t>
            </w:r>
          </w:p>
        </w:tc>
        <w:tc>
          <w:tcPr>
            <w:tcW w:type="dxa" w:w="1500"/>
            <w:shd w:fill="EAF0F6" w:color="auto" w:val="clear"/>
            <w:tcMar>
              <w:top w:type="dxa" w:w="60"/>
              <w:left w:type="dxa" w:w="120"/>
              <w:bottom w:type="dxa" w:w="60"/>
              <w:right w:type="dxa" w:w="120"/>
            </w:tcMar>
            <w:vAlign w:val="center"/>
          </w:tcPr>
          <w:p>
            <w:r>
              <w:rPr>
                <w:b/>
                <w:bCs/>
                <w:sz w:val="19"/>
                <w:szCs w:val="19"/>
              </w:rPr>
              <w:t xml:space="preserve">Discharge Date</w:t>
            </w:r>
          </w:p>
        </w:tc>
        <w:tc>
          <w:tcPr>
            <w:tcW w:type="dxa" w:w="3013"/>
            <w:tcMar>
              <w:top w:type="dxa" w:w="60"/>
              <w:left w:type="dxa" w:w="120"/>
              <w:bottom w:type="dxa" w:w="60"/>
              <w:right w:type="dxa" w:w="120"/>
            </w:tcMar>
            <w:vAlign w:val="center"/>
          </w:tcPr>
          <w:p>
            <w:r>
              <w:rPr>
                <w:sz w:val="19"/>
                <w:szCs w:val="19"/>
              </w:rPr>
              <w:t xml:space="preserve">07/02/2026, 01:00 PM</w:t>
            </w:r>
          </w:p>
        </w:tc>
      </w:tr>
      <w:tr>
        <w:tc>
          <w:tcPr>
            <w:tcW w:type="dxa" w:w="1500"/>
            <w:shd w:fill="EAF0F6" w:color="auto" w:val="clear"/>
            <w:tcMar>
              <w:top w:type="dxa" w:w="60"/>
              <w:left w:type="dxa" w:w="120"/>
              <w:bottom w:type="dxa" w:w="60"/>
              <w:right w:type="dxa" w:w="120"/>
            </w:tcMar>
            <w:vAlign w:val="center"/>
          </w:tcPr>
          <w:p>
            <w:r>
              <w:rPr>
                <w:b/>
                <w:bCs/>
                <w:sz w:val="19"/>
                <w:szCs w:val="19"/>
              </w:rPr>
              <w:t xml:space="preserve">Treating Consultant</w:t>
            </w:r>
          </w:p>
        </w:tc>
        <w:tc>
          <w:tcPr>
            <w:tcW w:type="dxa" w:w="3013"/>
            <w:tcMar>
              <w:top w:type="dxa" w:w="60"/>
              <w:left w:type="dxa" w:w="120"/>
              <w:bottom w:type="dxa" w:w="60"/>
              <w:right w:type="dxa" w:w="120"/>
            </w:tcMar>
            <w:vAlign w:val="center"/>
          </w:tcPr>
          <w:p>
            <w:r>
              <w:rPr>
                <w:sz w:val="19"/>
                <w:szCs w:val="19"/>
              </w:rPr>
              <w:t xml:space="preserve">Dr. Vikram Singh, MD (Endocrinology)</w:t>
            </w:r>
          </w:p>
        </w:tc>
        <w:tc>
          <w:tcPr>
            <w:tcW w:type="dxa" w:w="1500"/>
            <w:shd w:fill="EAF0F6" w:color="auto" w:val="clear"/>
            <w:tcMar>
              <w:top w:type="dxa" w:w="60"/>
              <w:left w:type="dxa" w:w="120"/>
              <w:bottom w:type="dxa" w:w="60"/>
              <w:right w:type="dxa" w:w="120"/>
            </w:tcMar>
            <w:vAlign w:val="center"/>
          </w:tcPr>
          <w:p>
            <w:r>
              <w:rPr>
                <w:b/>
                <w:bCs/>
                <w:sz w:val="19"/>
                <w:szCs w:val="19"/>
              </w:rPr>
              <w:t xml:space="preserve">Department</w:t>
            </w:r>
          </w:p>
        </w:tc>
        <w:tc>
          <w:tcPr>
            <w:tcW w:type="dxa" w:w="3013"/>
            <w:tcMar>
              <w:top w:type="dxa" w:w="60"/>
              <w:left w:type="dxa" w:w="120"/>
              <w:bottom w:type="dxa" w:w="60"/>
              <w:right w:type="dxa" w:w="120"/>
            </w:tcMar>
            <w:vAlign w:val="center"/>
          </w:tcPr>
          <w:p>
            <w:r>
              <w:rPr>
                <w:sz w:val="19"/>
                <w:szCs w:val="19"/>
              </w:rPr>
              <w:t xml:space="preserve">Endocrinology</w:t>
            </w:r>
          </w:p>
        </w:tc>
      </w:tr>
    </w:tbl>
    <w:p>
      <w:pPr>
        <w:spacing w:after="120"/>
      </w:pPr>
    </w:p>
    <w:p>
      <w:pPr>
        <w:pBdr>
          <w:bottom w:val="single" w:color="BFBFBF" w:sz="4" w:space="2"/>
        </w:pBdr>
        <w:spacing w:after="100" w:before="260"/>
      </w:pPr>
      <w:r>
        <w:rPr>
          <w:rFonts w:ascii="Calibri" w:cs="Calibri" w:eastAsia="Calibri" w:hAnsi="Calibri"/>
          <w:b/>
          <w:bCs/>
          <w:color w:val="1F3864"/>
          <w:sz w:val="21"/>
          <w:szCs w:val="21"/>
        </w:rPr>
        <w:t xml:space="preserve">CHIEF COMPLAINT</w:t>
      </w:r>
    </w:p>
    <w:p>
      <w:pPr>
        <w:spacing w:after="160"/>
      </w:pPr>
      <w:r>
        <w:rPr>
          <w:sz w:val="21"/>
          <w:szCs w:val="21"/>
        </w:rPr>
        <w:t xml:space="preserve">Non-healing ulcer over the right foot for 3 weeks, with poor glycemic control.</w:t>
      </w:r>
    </w:p>
    <w:p>
      <w:pPr>
        <w:pBdr>
          <w:bottom w:val="single" w:color="BFBFBF" w:sz="4" w:space="2"/>
        </w:pBdr>
        <w:spacing w:after="100" w:before="260"/>
      </w:pPr>
      <w:r>
        <w:rPr>
          <w:rFonts w:ascii="Calibri" w:cs="Calibri" w:eastAsia="Calibri" w:hAnsi="Calibri"/>
          <w:b/>
          <w:bCs/>
          <w:color w:val="1F3864"/>
          <w:sz w:val="21"/>
          <w:szCs w:val="21"/>
        </w:rPr>
        <w:t xml:space="preserve">HISTORY OF PRESENT ILLNESS</w:t>
      </w:r>
    </w:p>
    <w:p>
      <w:pPr>
        <w:spacing w:after="160"/>
      </w:pPr>
      <w:r>
        <w:rPr>
          <w:sz w:val="21"/>
          <w:szCs w:val="21"/>
        </w:rPr>
        <w:t xml:space="preserve">The patient, a known diabetic for the past 10 years on oral hypoglycemic agents with poor compliance, presented with a non-healing ulcer over the plantar aspect of the right foot for 3 weeks, associated with mild discharge and foul odor. She reports polyuria, polydipsia, and unintentional weight loss over the preceding 2 months, suggestive of poor glycemic control. No fever or chills at presentation. She admits to irregular medication intake and infrequent blood sugar monitoring at home.</w:t>
      </w:r>
    </w:p>
    <w:p>
      <w:pPr>
        <w:pBdr>
          <w:bottom w:val="single" w:color="BFBFBF" w:sz="4" w:space="2"/>
        </w:pBdr>
        <w:spacing w:after="100" w:before="260"/>
      </w:pPr>
      <w:r>
        <w:rPr>
          <w:rFonts w:ascii="Calibri" w:cs="Calibri" w:eastAsia="Calibri" w:hAnsi="Calibri"/>
          <w:b/>
          <w:bCs/>
          <w:color w:val="1F3864"/>
          <w:sz w:val="21"/>
          <w:szCs w:val="21"/>
        </w:rPr>
        <w:t xml:space="preserve">PAST HISTORY</w:t>
      </w:r>
    </w:p>
    <w:p>
      <w:pPr>
        <w:spacing w:after="160"/>
      </w:pPr>
      <w:r>
        <w:rPr>
          <w:sz w:val="21"/>
          <w:szCs w:val="21"/>
        </w:rPr>
        <w:t xml:space="preserve">Type 2 Diabetes Mellitus for 10 years, on Tab. Metformin and Tab. Glimepiride with poor compliance. Hypertension for 5 years, on Tab. Amlodipine. No known history of coronary artery disease or stroke.</w:t>
      </w:r>
    </w:p>
    <w:p>
      <w:pPr>
        <w:pBdr>
          <w:bottom w:val="single" w:color="BFBFBF" w:sz="4" w:space="2"/>
        </w:pBdr>
        <w:spacing w:after="100" w:before="260"/>
      </w:pPr>
      <w:r>
        <w:rPr>
          <w:rFonts w:ascii="Calibri" w:cs="Calibri" w:eastAsia="Calibri" w:hAnsi="Calibri"/>
          <w:b/>
          <w:bCs/>
          <w:color w:val="1F3864"/>
          <w:sz w:val="21"/>
          <w:szCs w:val="21"/>
        </w:rPr>
        <w:t xml:space="preserve">SOCIAL HISTORY</w:t>
      </w:r>
    </w:p>
    <w:p>
      <w:pPr>
        <w:spacing w:after="160"/>
      </w:pPr>
      <w:r>
        <w:rPr>
          <w:sz w:val="21"/>
          <w:szCs w:val="21"/>
        </w:rPr>
        <w:t xml:space="preserve">Homemaker. Non-smoker, non-alcoholic. Class III as per Modified Kuppuswamy Socio-Economic Scale. Reports difficulty affording regular glucometer strips and has been checking blood sugar only once every 2-3 weeks.</w:t>
      </w:r>
    </w:p>
    <w:p>
      <w:pPr>
        <w:pBdr>
          <w:bottom w:val="single" w:color="BFBFBF" w:sz="4" w:space="2"/>
        </w:pBdr>
        <w:spacing w:after="100" w:before="260"/>
      </w:pPr>
      <w:r>
        <w:rPr>
          <w:rFonts w:ascii="Calibri" w:cs="Calibri" w:eastAsia="Calibri" w:hAnsi="Calibri"/>
          <w:b/>
          <w:bCs/>
          <w:color w:val="1F3864"/>
          <w:sz w:val="21"/>
          <w:szCs w:val="21"/>
        </w:rPr>
        <w:t xml:space="preserve">PHYSICAL EXAMINATION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EAF0F6" w:color="auto" w:val="clear"/>
            <w:tcMar>
              <w:top w:type="dxa" w:w="60"/>
              <w:left w:type="dxa" w:w="120"/>
              <w:bottom w:type="dxa" w:w="60"/>
              <w:right w:type="dxa" w:w="120"/>
            </w:tcMar>
            <w:vAlign w:val="center"/>
          </w:tcPr>
          <w:p>
            <w:r>
              <w:rPr>
                <w:b/>
                <w:bCs/>
                <w:sz w:val="19"/>
                <w:szCs w:val="19"/>
              </w:rPr>
              <w:t xml:space="preserve">General Appearance</w:t>
            </w:r>
          </w:p>
        </w:tc>
        <w:tc>
          <w:tcPr>
            <w:tcW w:type="dxa" w:w="6526"/>
            <w:tcMar>
              <w:top w:type="dxa" w:w="60"/>
              <w:left w:type="dxa" w:w="120"/>
              <w:bottom w:type="dxa" w:w="60"/>
              <w:right w:type="dxa" w:w="120"/>
            </w:tcMar>
            <w:vAlign w:val="center"/>
          </w:tcPr>
          <w:p>
            <w:r>
              <w:rPr>
                <w:sz w:val="19"/>
                <w:szCs w:val="19"/>
              </w:rPr>
              <w:t xml:space="preserve">Conscious, oriented, mildly obese (BMI ~29)</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Vitals</w:t>
            </w:r>
          </w:p>
        </w:tc>
        <w:tc>
          <w:tcPr>
            <w:tcW w:type="dxa" w:w="6526"/>
            <w:tcMar>
              <w:top w:type="dxa" w:w="60"/>
              <w:left w:type="dxa" w:w="120"/>
              <w:bottom w:type="dxa" w:w="60"/>
              <w:right w:type="dxa" w:w="120"/>
            </w:tcMar>
            <w:vAlign w:val="center"/>
          </w:tcPr>
          <w:p>
            <w:r>
              <w:rPr>
                <w:sz w:val="19"/>
                <w:szCs w:val="19"/>
              </w:rPr>
              <w:t xml:space="preserve">BP 148/90 mmHg, Pulse 88/min, Temp 99.2°F, RR 18/min</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Local Examination — Right Foot</w:t>
            </w:r>
          </w:p>
        </w:tc>
        <w:tc>
          <w:tcPr>
            <w:tcW w:type="dxa" w:w="6526"/>
            <w:tcMar>
              <w:top w:type="dxa" w:w="60"/>
              <w:left w:type="dxa" w:w="120"/>
              <w:bottom w:type="dxa" w:w="60"/>
              <w:right w:type="dxa" w:w="120"/>
            </w:tcMar>
            <w:vAlign w:val="center"/>
          </w:tcPr>
          <w:p>
            <w:r>
              <w:rPr>
                <w:sz w:val="19"/>
                <w:szCs w:val="19"/>
              </w:rPr>
              <w:t xml:space="preserve">3x2 cm ulcer over the plantar aspect of the right forefoot, with slough at the base and mild peri-wound erythema; no gangrene; reduced sensation to monofilament testing (peripheral neuropathy)</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Peripheral Pulses</w:t>
            </w:r>
          </w:p>
        </w:tc>
        <w:tc>
          <w:tcPr>
            <w:tcW w:type="dxa" w:w="6526"/>
            <w:tcMar>
              <w:top w:type="dxa" w:w="60"/>
              <w:left w:type="dxa" w:w="120"/>
              <w:bottom w:type="dxa" w:w="60"/>
              <w:right w:type="dxa" w:w="120"/>
            </w:tcMar>
            <w:vAlign w:val="center"/>
          </w:tcPr>
          <w:p>
            <w:r>
              <w:rPr>
                <w:sz w:val="19"/>
                <w:szCs w:val="19"/>
              </w:rPr>
              <w:t xml:space="preserve">Dorsalis pedis and posterior tibial pulses feebly palpable bilaterally</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Cardiovascular / Respiratory</w:t>
            </w:r>
          </w:p>
        </w:tc>
        <w:tc>
          <w:tcPr>
            <w:tcW w:type="dxa" w:w="6526"/>
            <w:tcMar>
              <w:top w:type="dxa" w:w="60"/>
              <w:left w:type="dxa" w:w="120"/>
              <w:bottom w:type="dxa" w:w="60"/>
              <w:right w:type="dxa" w:w="120"/>
            </w:tcMar>
            <w:vAlign w:val="center"/>
          </w:tcPr>
          <w:p>
            <w:r>
              <w:rPr>
                <w:sz w:val="19"/>
                <w:szCs w:val="19"/>
              </w:rPr>
              <w:t xml:space="preserve">Within normal limits</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PICCKLE</w:t>
            </w:r>
          </w:p>
        </w:tc>
        <w:tc>
          <w:tcPr>
            <w:tcW w:type="dxa" w:w="6526"/>
            <w:tcMar>
              <w:top w:type="dxa" w:w="60"/>
              <w:left w:type="dxa" w:w="120"/>
              <w:bottom w:type="dxa" w:w="60"/>
              <w:right w:type="dxa" w:w="120"/>
            </w:tcMar>
            <w:vAlign w:val="center"/>
          </w:tcPr>
          <w:p>
            <w:r>
              <w:rPr>
                <w:sz w:val="19"/>
                <w:szCs w:val="19"/>
              </w:rPr>
              <w:t xml:space="preserve">Pallor: −, Icterus: −, Cyanosis: −, Clubbing: −, Koilonychia: −, Lymphadenopathy: −, Edema: mild bilateral pedal edema</w:t>
            </w:r>
          </w:p>
        </w:tc>
      </w:tr>
    </w:tbl>
    <w:p>
      <w:pPr>
        <w:spacing w:after="120"/>
      </w:pPr>
    </w:p>
    <w:p>
      <w:pPr>
        <w:pBdr>
          <w:bottom w:val="single" w:color="BFBFBF" w:sz="4" w:space="2"/>
        </w:pBdr>
        <w:spacing w:after="100" w:before="260"/>
      </w:pPr>
      <w:r>
        <w:rPr>
          <w:rFonts w:ascii="Calibri" w:cs="Calibri" w:eastAsia="Calibri" w:hAnsi="Calibri"/>
          <w:b/>
          <w:bCs/>
          <w:color w:val="1F3864"/>
          <w:sz w:val="21"/>
          <w:szCs w:val="21"/>
        </w:rPr>
        <w:t xml:space="preserve">INVESTIGATIONS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EAF0F6" w:color="auto" w:val="clear"/>
            <w:tcMar>
              <w:top w:type="dxa" w:w="60"/>
              <w:left w:type="dxa" w:w="120"/>
              <w:bottom w:type="dxa" w:w="60"/>
              <w:right w:type="dxa" w:w="120"/>
            </w:tcMar>
            <w:vAlign w:val="center"/>
          </w:tcPr>
          <w:p>
            <w:r>
              <w:rPr>
                <w:b/>
                <w:bCs/>
                <w:sz w:val="19"/>
                <w:szCs w:val="19"/>
              </w:rPr>
              <w:t xml:space="preserve">Random Blood Glucose (admission)</w:t>
            </w:r>
          </w:p>
        </w:tc>
        <w:tc>
          <w:tcPr>
            <w:tcW w:type="dxa" w:w="6526"/>
            <w:tcMar>
              <w:top w:type="dxa" w:w="60"/>
              <w:left w:type="dxa" w:w="120"/>
              <w:bottom w:type="dxa" w:w="60"/>
              <w:right w:type="dxa" w:w="120"/>
            </w:tcMar>
            <w:vAlign w:val="center"/>
          </w:tcPr>
          <w:p>
            <w:r>
              <w:rPr>
                <w:sz w:val="19"/>
                <w:szCs w:val="19"/>
              </w:rPr>
              <w:t xml:space="preserve">342 mg/dL</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HbA1c</w:t>
            </w:r>
          </w:p>
        </w:tc>
        <w:tc>
          <w:tcPr>
            <w:tcW w:type="dxa" w:w="6526"/>
            <w:tcMar>
              <w:top w:type="dxa" w:w="60"/>
              <w:left w:type="dxa" w:w="120"/>
              <w:bottom w:type="dxa" w:w="60"/>
              <w:right w:type="dxa" w:w="120"/>
            </w:tcMar>
            <w:vAlign w:val="center"/>
          </w:tcPr>
          <w:p>
            <w:r>
              <w:rPr>
                <w:sz w:val="19"/>
                <w:szCs w:val="19"/>
              </w:rPr>
              <w:t xml:space="preserve">10.8% (poor long-term glycemic control)</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Fasting / Post-prandial Glucose (Day 3)</w:t>
            </w:r>
          </w:p>
        </w:tc>
        <w:tc>
          <w:tcPr>
            <w:tcW w:type="dxa" w:w="6526"/>
            <w:tcMar>
              <w:top w:type="dxa" w:w="60"/>
              <w:left w:type="dxa" w:w="120"/>
              <w:bottom w:type="dxa" w:w="60"/>
              <w:right w:type="dxa" w:w="120"/>
            </w:tcMar>
            <w:vAlign w:val="center"/>
          </w:tcPr>
          <w:p>
            <w:r>
              <w:rPr>
                <w:sz w:val="19"/>
                <w:szCs w:val="19"/>
              </w:rPr>
              <w:t xml:space="preserve">138 / 178 mg/dL, post-optimization</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Renal Function</w:t>
            </w:r>
          </w:p>
        </w:tc>
        <w:tc>
          <w:tcPr>
            <w:tcW w:type="dxa" w:w="6526"/>
            <w:tcMar>
              <w:top w:type="dxa" w:w="60"/>
              <w:left w:type="dxa" w:w="120"/>
              <w:bottom w:type="dxa" w:w="60"/>
              <w:right w:type="dxa" w:w="120"/>
            </w:tcMar>
            <w:vAlign w:val="center"/>
          </w:tcPr>
          <w:p>
            <w:r>
              <w:rPr>
                <w:sz w:val="19"/>
                <w:szCs w:val="19"/>
              </w:rPr>
              <w:t xml:space="preserve">Serum Creatinine 1.1 mg/dL; Urine Microalbumin mildly elevated (early nephropathy)</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Wound Swab Culture</w:t>
            </w:r>
          </w:p>
        </w:tc>
        <w:tc>
          <w:tcPr>
            <w:tcW w:type="dxa" w:w="6526"/>
            <w:tcMar>
              <w:top w:type="dxa" w:w="60"/>
              <w:left w:type="dxa" w:w="120"/>
              <w:bottom w:type="dxa" w:w="60"/>
              <w:right w:type="dxa" w:w="120"/>
            </w:tcMar>
            <w:vAlign w:val="center"/>
          </w:tcPr>
          <w:p>
            <w:r>
              <w:rPr>
                <w:sz w:val="19"/>
                <w:szCs w:val="19"/>
              </w:rPr>
              <w:t xml:space="preserve">Staphylococcus aureus, sensitive to Clindamycin</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X-ray Right Foot</w:t>
            </w:r>
          </w:p>
        </w:tc>
        <w:tc>
          <w:tcPr>
            <w:tcW w:type="dxa" w:w="6526"/>
            <w:tcMar>
              <w:top w:type="dxa" w:w="60"/>
              <w:left w:type="dxa" w:w="120"/>
              <w:bottom w:type="dxa" w:w="60"/>
              <w:right w:type="dxa" w:w="120"/>
            </w:tcMar>
            <w:vAlign w:val="center"/>
          </w:tcPr>
          <w:p>
            <w:r>
              <w:rPr>
                <w:sz w:val="19"/>
                <w:szCs w:val="19"/>
              </w:rPr>
              <w:t xml:space="preserve">No evidence of osteomyelitis</w:t>
            </w:r>
          </w:p>
        </w:tc>
      </w:tr>
      <w:tr>
        <w:tc>
          <w:tcPr>
            <w:tcW w:type="dxa" w:w="2500"/>
            <w:shd w:fill="EAF0F6" w:color="auto" w:val="clear"/>
            <w:tcMar>
              <w:top w:type="dxa" w:w="60"/>
              <w:left w:type="dxa" w:w="120"/>
              <w:bottom w:type="dxa" w:w="60"/>
              <w:right w:type="dxa" w:w="120"/>
            </w:tcMar>
            <w:vAlign w:val="center"/>
          </w:tcPr>
          <w:p>
            <w:r>
              <w:rPr>
                <w:b/>
                <w:bCs/>
                <w:sz w:val="19"/>
                <w:szCs w:val="19"/>
              </w:rPr>
              <w:t xml:space="preserve">Lipid Profile</w:t>
            </w:r>
          </w:p>
        </w:tc>
        <w:tc>
          <w:tcPr>
            <w:tcW w:type="dxa" w:w="6526"/>
            <w:tcMar>
              <w:top w:type="dxa" w:w="60"/>
              <w:left w:type="dxa" w:w="120"/>
              <w:bottom w:type="dxa" w:w="60"/>
              <w:right w:type="dxa" w:w="120"/>
            </w:tcMar>
            <w:vAlign w:val="center"/>
          </w:tcPr>
          <w:p>
            <w:r>
              <w:rPr>
                <w:sz w:val="19"/>
                <w:szCs w:val="19"/>
              </w:rPr>
              <w:t xml:space="preserve">LDL 148 mg/dL, Triglycerides 220 mg/dL</w:t>
            </w:r>
          </w:p>
        </w:tc>
      </w:tr>
    </w:tbl>
    <w:p>
      <w:pPr>
        <w:spacing w:after="120"/>
      </w:pPr>
    </w:p>
    <w:p>
      <w:pPr>
        <w:pBdr>
          <w:bottom w:val="single" w:color="BFBFBF" w:sz="4" w:space="2"/>
        </w:pBdr>
        <w:spacing w:after="100" w:before="260"/>
      </w:pPr>
      <w:r>
        <w:rPr>
          <w:rFonts w:ascii="Calibri" w:cs="Calibri" w:eastAsia="Calibri" w:hAnsi="Calibri"/>
          <w:b/>
          <w:bCs/>
          <w:color w:val="1F3864"/>
          <w:sz w:val="21"/>
          <w:szCs w:val="21"/>
        </w:rPr>
        <w:t xml:space="preserve">DIAGNOSIS</w:t>
      </w:r>
    </w:p>
    <w:p>
      <w:pPr>
        <w:spacing w:after="160"/>
      </w:pPr>
      <w:r>
        <w:rPr>
          <w:b/>
          <w:bCs/>
          <w:sz w:val="21"/>
          <w:szCs w:val="21"/>
        </w:rPr>
        <w:t xml:space="preserve">Type 2 Diabetes Mellitus, poorly controlled, with right diabetic foot ulcer (Wagner Grade 2) and peripheral neuropathy (ICD-10: E11.621)</w:t>
      </w:r>
    </w:p>
    <w:p>
      <w:pPr>
        <w:pBdr>
          <w:bottom w:val="single" w:color="BFBFBF" w:sz="4" w:space="2"/>
        </w:pBdr>
        <w:spacing w:after="100" w:before="260"/>
      </w:pPr>
      <w:r>
        <w:rPr>
          <w:rFonts w:ascii="Calibri" w:cs="Calibri" w:eastAsia="Calibri" w:hAnsi="Calibri"/>
          <w:b/>
          <w:bCs/>
          <w:color w:val="1F3864"/>
          <w:sz w:val="21"/>
          <w:szCs w:val="21"/>
        </w:rPr>
        <w:t xml:space="preserve">COURSE IN HOSPITAL</w:t>
      </w:r>
    </w:p>
    <w:p>
      <w:pPr>
        <w:spacing w:after="160"/>
      </w:pPr>
      <w:r>
        <w:rPr>
          <w:sz w:val="21"/>
          <w:szCs w:val="21"/>
        </w:rPr>
        <w:t xml:space="preserve">The patient was admitted for glycemic optimization and local wound management. Blood sugars were controlled with a basal-bolus insulin regimen, and she was started on empirical antibiotics (later adjusted per culture sensitivity) along with regular wound debridement and dressing. Blood glucose showed satisfactory improvement over the admission, and the foot ulcer showed healthy granulation tissue with reducing discharge by the time of discharge. She was counseled extensively on foot care, diet, and medication compliance, and was transitioned to an optimized oral hypoglycemic regimen with basal insulin.</w:t>
      </w:r>
    </w:p>
    <w:p>
      <w:pPr>
        <w:pBdr>
          <w:bottom w:val="single" w:color="BFBFBF" w:sz="4" w:space="2"/>
        </w:pBdr>
        <w:spacing w:after="100" w:before="260"/>
      </w:pPr>
      <w:r>
        <w:rPr>
          <w:rFonts w:ascii="Calibri" w:cs="Calibri" w:eastAsia="Calibri" w:hAnsi="Calibri"/>
          <w:b/>
          <w:bCs/>
          <w:color w:val="1F3864"/>
          <w:sz w:val="21"/>
          <w:szCs w:val="21"/>
        </w:rPr>
        <w:t xml:space="preserve">CONDITION AT DISCHARGE</w:t>
      </w:r>
    </w:p>
    <w:p>
      <w:pPr>
        <w:spacing w:after="160"/>
      </w:pPr>
      <w:r>
        <w:rPr>
          <w:sz w:val="21"/>
          <w:szCs w:val="21"/>
        </w:rPr>
        <w:t xml:space="preserve">Afebrile, blood glucose well-controlled on discharge regimen, foot ulcer clean with healthy granulation tissue, ambulatory with non-weight-bearing precautions on the right foot.</w:t>
      </w:r>
    </w:p>
    <w:p>
      <w:pPr>
        <w:pBdr>
          <w:bottom w:val="single" w:color="BFBFBF" w:sz="4" w:space="2"/>
        </w:pBdr>
        <w:spacing w:after="100" w:before="260"/>
      </w:pPr>
      <w:r>
        <w:rPr>
          <w:rFonts w:ascii="Calibri" w:cs="Calibri" w:eastAsia="Calibri" w:hAnsi="Calibri"/>
          <w:b/>
          <w:bCs/>
          <w:color w:val="1F3864"/>
          <w:sz w:val="21"/>
          <w:szCs w:val="21"/>
        </w:rPr>
        <w:t xml:space="preserve">PROGNOSIS</w:t>
      </w:r>
    </w:p>
    <w:p>
      <w:pPr>
        <w:spacing w:after="160"/>
      </w:pPr>
      <w:r>
        <w:rPr>
          <w:sz w:val="21"/>
          <w:szCs w:val="21"/>
        </w:rPr>
        <w:t xml:space="preserve">With strict glycemic control, regular wound care, and consistent medication and dietary compliance, the ulcer is expected to heal over the coming weeks. Given the presence of peripheral neuropathy and early nephropathy, however, the patient remains at elevated risk for future foot complications and progressive diabetic organ damage if glycemic control is not sustained; regular follow-up and patient education are essential.</w:t>
      </w:r>
    </w:p>
    <w:p>
      <w:pPr>
        <w:pBdr>
          <w:bottom w:val="single" w:color="BFBFBF" w:sz="4" w:space="2"/>
        </w:pBdr>
        <w:spacing w:after="100" w:before="260"/>
      </w:pPr>
      <w:r>
        <w:rPr>
          <w:rFonts w:ascii="Calibri" w:cs="Calibri" w:eastAsia="Calibri" w:hAnsi="Calibri"/>
          <w:b/>
          <w:bCs/>
          <w:color w:val="1F3864"/>
          <w:sz w:val="21"/>
          <w:szCs w:val="21"/>
        </w:rPr>
        <w:t xml:space="preserve">ADVICE ON DISCHARGE</w:t>
      </w:r>
    </w:p>
    <w:p>
      <w:pPr>
        <w:pStyle w:val="ListParagraph"/>
        <w:numPr>
          <w:ilvl w:val="0"/>
          <w:numId w:val="2"/>
        </w:numPr>
        <w:spacing w:after="80"/>
      </w:pPr>
      <w:r>
        <w:rPr>
          <w:sz w:val="21"/>
          <w:szCs w:val="21"/>
        </w:rPr>
        <w:t xml:space="preserve">Basal insulin as per sliding scale advised, plus Tab. Metformin 1000 mg BD and Tab. Glimepiride 2 mg OD</w:t>
      </w:r>
    </w:p>
    <w:p>
      <w:pPr>
        <w:pStyle w:val="ListParagraph"/>
        <w:numPr>
          <w:ilvl w:val="0"/>
          <w:numId w:val="2"/>
        </w:numPr>
        <w:spacing w:after="80"/>
      </w:pPr>
      <w:r>
        <w:rPr>
          <w:sz w:val="21"/>
          <w:szCs w:val="21"/>
        </w:rPr>
        <w:t xml:space="preserve">Tab. Amlodipine 5 mg OD for blood pressure control</w:t>
      </w:r>
    </w:p>
    <w:p>
      <w:pPr>
        <w:pStyle w:val="ListParagraph"/>
        <w:numPr>
          <w:ilvl w:val="0"/>
          <w:numId w:val="2"/>
        </w:numPr>
        <w:spacing w:after="80"/>
      </w:pPr>
      <w:r>
        <w:rPr>
          <w:sz w:val="21"/>
          <w:szCs w:val="21"/>
        </w:rPr>
        <w:t xml:space="preserve">Daily wound dressing and foot care as demonstrated; avoid weight-bearing on the right foot until fully healed</w:t>
      </w:r>
    </w:p>
    <w:p>
      <w:pPr>
        <w:pStyle w:val="ListParagraph"/>
        <w:numPr>
          <w:ilvl w:val="0"/>
          <w:numId w:val="2"/>
        </w:numPr>
        <w:spacing w:after="80"/>
      </w:pPr>
      <w:r>
        <w:rPr>
          <w:sz w:val="21"/>
          <w:szCs w:val="21"/>
        </w:rPr>
        <w:t xml:space="preserve">Home blood glucose monitoring at least twice daily</w:t>
      </w:r>
    </w:p>
    <w:p>
      <w:pPr>
        <w:pStyle w:val="ListParagraph"/>
        <w:numPr>
          <w:ilvl w:val="0"/>
          <w:numId w:val="2"/>
        </w:numPr>
        <w:spacing w:after="80"/>
      </w:pPr>
      <w:r>
        <w:rPr>
          <w:sz w:val="21"/>
          <w:szCs w:val="21"/>
        </w:rPr>
        <w:t xml:space="preserve">Diabetic diet — controlled carbohydrate intake, avoid sugary foods; dietician consultation arranged</w:t>
      </w:r>
    </w:p>
    <w:p>
      <w:pPr>
        <w:pStyle w:val="ListParagraph"/>
        <w:numPr>
          <w:ilvl w:val="0"/>
          <w:numId w:val="2"/>
        </w:numPr>
        <w:spacing w:after="80"/>
      </w:pPr>
      <w:r>
        <w:rPr>
          <w:sz w:val="21"/>
          <w:szCs w:val="21"/>
        </w:rPr>
        <w:t xml:space="preserve">Regular foot inspection; well-fitting diabetic footwear advised</w:t>
      </w:r>
    </w:p>
    <w:p>
      <w:pPr>
        <w:pStyle w:val="ListParagraph"/>
        <w:numPr>
          <w:ilvl w:val="0"/>
          <w:numId w:val="2"/>
        </w:numPr>
        <w:spacing w:after="80"/>
      </w:pPr>
      <w:r>
        <w:rPr>
          <w:sz w:val="21"/>
          <w:szCs w:val="21"/>
        </w:rPr>
        <w:t xml:space="preserve">Return immediately if fever, increasing wound discharge, or worsening pain develops</w:t>
      </w:r>
    </w:p>
    <w:p>
      <w:pPr>
        <w:pBdr>
          <w:bottom w:val="single" w:color="BFBFBF" w:sz="4" w:space="2"/>
        </w:pBdr>
        <w:spacing w:after="100" w:before="260"/>
      </w:pPr>
      <w:r>
        <w:rPr>
          <w:rFonts w:ascii="Calibri" w:cs="Calibri" w:eastAsia="Calibri" w:hAnsi="Calibri"/>
          <w:b/>
          <w:bCs/>
          <w:color w:val="1F3864"/>
          <w:sz w:val="21"/>
          <w:szCs w:val="21"/>
        </w:rPr>
        <w:t xml:space="preserve">FOLLOW-UP</w:t>
      </w:r>
    </w:p>
    <w:p>
      <w:pPr>
        <w:spacing w:after="160"/>
      </w:pPr>
      <w:r>
        <w:rPr>
          <w:sz w:val="21"/>
          <w:szCs w:val="21"/>
        </w:rPr>
        <w:t xml:space="preserve">Review in Endocrinology OPD after 1 week for glycemic reassessment; Surgery OPD after 5 days for wound check; ophthalmology and nephrology screening for diabetic complications to be arranged at the next visit.</w:t>
      </w:r>
    </w:p>
    <w:p>
      <w:pPr>
        <w:spacing w:after="0" w:before="400"/>
      </w:pPr>
      <w:r>
        <w:rPr>
          <w:i/>
          <w:iCs/>
          <w:color w:val="6B6B6B"/>
          <w:sz w:val="19"/>
          <w:szCs w:val="19"/>
        </w:rPr>
        <w:t xml:space="preserve">Electronically verified by:</w:t>
      </w:r>
    </w:p>
    <w:p>
      <w:pPr>
        <w:spacing w:after="20" w:before="300"/>
      </w:pPr>
      <w:r>
        <w:rPr>
          <w:b/>
          <w:bCs/>
          <w:sz w:val="22"/>
          <w:szCs w:val="22"/>
        </w:rPr>
        <w:t xml:space="preserve">Dr. Vikram Singh</w:t>
      </w:r>
    </w:p>
    <w:p>
      <w:pPr>
        <w:spacing w:after="20"/>
      </w:pPr>
      <w:r>
        <w:rPr>
          <w:sz w:val="19"/>
          <w:szCs w:val="19"/>
        </w:rPr>
        <w:t xml:space="preserve">MD (Endocrinology)</w:t>
      </w:r>
    </w:p>
    <w:p>
      <w:pPr>
        <w:spacing w:after="20"/>
      </w:pPr>
      <w:r>
        <w:rPr>
          <w:sz w:val="19"/>
          <w:szCs w:val="19"/>
        </w:rPr>
        <w:t xml:space="preserve">Department of Endocrinology</w:t>
      </w:r>
    </w:p>
    <w:p>
      <w:pPr>
        <w:spacing w:after="20"/>
      </w:pPr>
      <w:r>
        <w:rPr>
          <w:sz w:val="19"/>
          <w:szCs w:val="19"/>
        </w:rPr>
        <w:t xml:space="preserve">Apollo Hospital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DISCHARGE SUMMARY</dc:title>
  <dc:creator>Synthetic Data Generator</dc:creator>
  <cp:lastModifiedBy>Un-named</cp:lastModifiedBy>
  <cp:revision>1</cp:revision>
  <dcterms:created xsi:type="dcterms:W3CDTF">2026-08-18T09:40:44.974Z</dcterms:created>
  <dcterms:modified xsi:type="dcterms:W3CDTF">2026-08-18T09:40:44.974Z</dcterms:modified>
</cp:coreProperties>
</file>

<file path=docProps/custom.xml><?xml version="1.0" encoding="utf-8"?>
<Properties xmlns="http://schemas.openxmlformats.org/officeDocument/2006/custom-properties" xmlns:vt="http://schemas.openxmlformats.org/officeDocument/2006/docPropsVTypes"/>
</file>