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E3A8A"/>
          <w:sz w:val="48"/>
        </w:rPr>
        <w:t>CareEquity Backend Architecture &amp; Microservices Specification</w:t>
      </w:r>
    </w:p>
    <w:p>
      <w:pPr>
        <w:spacing w:after="360"/>
      </w:pPr>
      <w:r>
        <w:rPr>
          <w:i/>
          <w:color w:val="64748B"/>
          <w:sz w:val="24"/>
        </w:rPr>
        <w:t>Comprehensive Technical Documentation of Microservices, Data Pipeline, &amp; AI Engines</w:t>
      </w:r>
    </w:p>
    <w:p>
      <w:pPr>
        <w:pStyle w:val="Heading1"/>
        <w:spacing w:before="240" w:after="80"/>
      </w:pPr>
      <w:r>
        <w:rPr>
          <w:b/>
          <w:color w:val="1D4ED8"/>
          <w:sz w:val="36"/>
        </w:rPr>
        <w:t>1. Executive Summary &amp; Architecture Overview</w:t>
      </w:r>
    </w:p>
    <w:p>
      <w:pPr>
        <w:spacing w:after="160"/>
      </w:pPr>
      <w:r>
        <w:t>CareEquity is a multi-tier, AI-driven healthcare platform designed to analyze Social Determinants of Health (SDoH), predict individual disease risks, synthesize clinical care plans, and connect care coordinators with verified non-profit resources. The backend architecture is built as a microservice cluster comprising 6 core microservices operating synchronously via REST APIs.</w:t>
      </w:r>
    </w:p>
    <w:tbl>
      <w:tblPr>
        <w:tblW w:type="auto" w:w="0"/>
        <w:jc w:val="center"/>
        <w:tblLook w:firstColumn="1" w:firstRow="1" w:lastColumn="0" w:lastRow="0" w:noHBand="0" w:noVBand="1" w:val="04A0"/>
      </w:tblPr>
      <w:tblGrid>
        <w:gridCol w:w="2340"/>
        <w:gridCol w:w="2340"/>
        <w:gridCol w:w="2340"/>
        <w:gridCol w:w="2340"/>
      </w:tblGrid>
      <w:tr>
        <w:tc>
          <w:tcPr>
            <w:tcW w:type="dxa" w:w="2340"/>
            <w:shd w:fill="1D4ED8"/>
          </w:tcPr>
          <w:p>
            <w:r>
              <w:rPr>
                <w:b/>
                <w:color w:val="FFFFFF"/>
                <w:sz w:val="20"/>
              </w:rPr>
              <w:t>Service Name</w:t>
            </w:r>
          </w:p>
        </w:tc>
        <w:tc>
          <w:tcPr>
            <w:tcW w:type="dxa" w:w="2340"/>
            <w:shd w:fill="1D4ED8"/>
          </w:tcPr>
          <w:p>
            <w:r>
              <w:rPr>
                <w:b/>
                <w:color w:val="FFFFFF"/>
                <w:sz w:val="20"/>
              </w:rPr>
              <w:t>Container / Port</w:t>
            </w:r>
          </w:p>
        </w:tc>
        <w:tc>
          <w:tcPr>
            <w:tcW w:type="dxa" w:w="2340"/>
            <w:shd w:fill="1D4ED8"/>
          </w:tcPr>
          <w:p>
            <w:r>
              <w:rPr>
                <w:b/>
                <w:color w:val="FFFFFF"/>
                <w:sz w:val="20"/>
              </w:rPr>
              <w:t>Technology Stack</w:t>
            </w:r>
          </w:p>
        </w:tc>
        <w:tc>
          <w:tcPr>
            <w:tcW w:type="dxa" w:w="2340"/>
            <w:shd w:fill="1D4ED8"/>
          </w:tcPr>
          <w:p>
            <w:r>
              <w:rPr>
                <w:b/>
                <w:color w:val="FFFFFF"/>
                <w:sz w:val="20"/>
              </w:rPr>
              <w:t>Core Responsibility</w:t>
            </w:r>
          </w:p>
        </w:tc>
      </w:tr>
      <w:tr>
        <w:tc>
          <w:tcPr>
            <w:tcW w:type="dxa" w:w="2340"/>
            <w:tcMar>
              <w:top w:w="80" w:type="dxa"/>
              <w:bottom w:w="80" w:type="dxa"/>
              <w:left w:w="100" w:type="dxa"/>
              <w:right w:w="100" w:type="dxa"/>
            </w:tcMar>
          </w:tcPr>
          <w:p>
            <w:r>
              <w:rPr>
                <w:sz w:val="19"/>
              </w:rPr>
              <w:t>Main System Backend</w:t>
            </w:r>
          </w:p>
        </w:tc>
        <w:tc>
          <w:tcPr>
            <w:tcW w:type="dxa" w:w="2340"/>
            <w:tcMar>
              <w:top w:w="80" w:type="dxa"/>
              <w:bottom w:w="80" w:type="dxa"/>
              <w:left w:w="100" w:type="dxa"/>
              <w:right w:w="100" w:type="dxa"/>
            </w:tcMar>
          </w:tcPr>
          <w:p>
            <w:r>
              <w:rPr>
                <w:sz w:val="19"/>
              </w:rPr>
              <w:t>careequity-main-backend : 8000</w:t>
            </w:r>
          </w:p>
        </w:tc>
        <w:tc>
          <w:tcPr>
            <w:tcW w:type="dxa" w:w="2340"/>
            <w:tcMar>
              <w:top w:w="80" w:type="dxa"/>
              <w:bottom w:w="80" w:type="dxa"/>
              <w:left w:w="100" w:type="dxa"/>
              <w:right w:w="100" w:type="dxa"/>
            </w:tcMar>
          </w:tcPr>
          <w:p>
            <w:r>
              <w:rPr>
                <w:sz w:val="19"/>
              </w:rPr>
              <w:t>FastAPI / PostgreSQL</w:t>
            </w:r>
          </w:p>
        </w:tc>
        <w:tc>
          <w:tcPr>
            <w:tcW w:type="dxa" w:w="2340"/>
            <w:tcMar>
              <w:top w:w="80" w:type="dxa"/>
              <w:bottom w:w="80" w:type="dxa"/>
              <w:left w:w="100" w:type="dxa"/>
              <w:right w:w="100" w:type="dxa"/>
            </w:tcMar>
          </w:tcPr>
          <w:p>
            <w:r>
              <w:rPr>
                <w:sz w:val="19"/>
              </w:rPr>
              <w:t>Patient CRUD, user authentication, subscription management, payment processing (Razorpay), history tracking.</w:t>
            </w:r>
          </w:p>
        </w:tc>
      </w:tr>
      <w:tr>
        <w:tc>
          <w:tcPr>
            <w:tcW w:type="dxa" w:w="2340"/>
            <w:tcMar>
              <w:top w:w="80" w:type="dxa"/>
              <w:bottom w:w="80" w:type="dxa"/>
              <w:left w:w="100" w:type="dxa"/>
              <w:right w:w="100" w:type="dxa"/>
            </w:tcMar>
          </w:tcPr>
          <w:p>
            <w:r>
              <w:rPr>
                <w:sz w:val="19"/>
              </w:rPr>
              <w:t>OCR Data Extraction Engine</w:t>
            </w:r>
          </w:p>
        </w:tc>
        <w:tc>
          <w:tcPr>
            <w:tcW w:type="dxa" w:w="2340"/>
            <w:tcMar>
              <w:top w:w="80" w:type="dxa"/>
              <w:bottom w:w="80" w:type="dxa"/>
              <w:left w:w="100" w:type="dxa"/>
              <w:right w:w="100" w:type="dxa"/>
            </w:tcMar>
          </w:tcPr>
          <w:p>
            <w:r>
              <w:rPr>
                <w:sz w:val="19"/>
              </w:rPr>
              <w:t>careequity-ocr-backend : 8001</w:t>
            </w:r>
          </w:p>
        </w:tc>
        <w:tc>
          <w:tcPr>
            <w:tcW w:type="dxa" w:w="2340"/>
            <w:tcMar>
              <w:top w:w="80" w:type="dxa"/>
              <w:bottom w:w="80" w:type="dxa"/>
              <w:left w:w="100" w:type="dxa"/>
              <w:right w:w="100" w:type="dxa"/>
            </w:tcMar>
          </w:tcPr>
          <w:p>
            <w:r>
              <w:rPr>
                <w:sz w:val="19"/>
              </w:rPr>
              <w:t>FastAPI / PyPDF2 / pdfplumber</w:t>
            </w:r>
          </w:p>
        </w:tc>
        <w:tc>
          <w:tcPr>
            <w:tcW w:type="dxa" w:w="2340"/>
            <w:tcMar>
              <w:top w:w="80" w:type="dxa"/>
              <w:bottom w:w="80" w:type="dxa"/>
              <w:left w:w="100" w:type="dxa"/>
              <w:right w:w="100" w:type="dxa"/>
            </w:tcMar>
          </w:tcPr>
          <w:p>
            <w:r>
              <w:rPr>
                <w:sz w:val="19"/>
              </w:rPr>
              <w:t>Parses uploaded clinical PDFs/documents, extracts structured JSON demographics and lab results.</w:t>
            </w:r>
          </w:p>
        </w:tc>
      </w:tr>
      <w:tr>
        <w:tc>
          <w:tcPr>
            <w:tcW w:type="dxa" w:w="2340"/>
            <w:tcMar>
              <w:top w:w="80" w:type="dxa"/>
              <w:bottom w:w="80" w:type="dxa"/>
              <w:left w:w="100" w:type="dxa"/>
              <w:right w:w="100" w:type="dxa"/>
            </w:tcMar>
          </w:tcPr>
          <w:p>
            <w:r>
              <w:rPr>
                <w:sz w:val="19"/>
              </w:rPr>
              <w:t>RAG &amp; Chatbot Engine</w:t>
            </w:r>
          </w:p>
        </w:tc>
        <w:tc>
          <w:tcPr>
            <w:tcW w:type="dxa" w:w="2340"/>
            <w:tcMar>
              <w:top w:w="80" w:type="dxa"/>
              <w:bottom w:w="80" w:type="dxa"/>
              <w:left w:w="100" w:type="dxa"/>
              <w:right w:w="100" w:type="dxa"/>
            </w:tcMar>
          </w:tcPr>
          <w:p>
            <w:r>
              <w:rPr>
                <w:sz w:val="19"/>
              </w:rPr>
              <w:t>careequity-rag-backend : 8002</w:t>
            </w:r>
          </w:p>
        </w:tc>
        <w:tc>
          <w:tcPr>
            <w:tcW w:type="dxa" w:w="2340"/>
            <w:tcMar>
              <w:top w:w="80" w:type="dxa"/>
              <w:bottom w:w="80" w:type="dxa"/>
              <w:left w:w="100" w:type="dxa"/>
              <w:right w:w="100" w:type="dxa"/>
            </w:tcMar>
          </w:tcPr>
          <w:p>
            <w:r>
              <w:rPr>
                <w:sz w:val="19"/>
              </w:rPr>
              <w:t>FastAPI / Groq LLM / ChromaDB</w:t>
            </w:r>
          </w:p>
        </w:tc>
        <w:tc>
          <w:tcPr>
            <w:tcW w:type="dxa" w:w="2340"/>
            <w:tcMar>
              <w:top w:w="80" w:type="dxa"/>
              <w:bottom w:w="80" w:type="dxa"/>
              <w:left w:w="100" w:type="dxa"/>
              <w:right w:w="100" w:type="dxa"/>
            </w:tcMar>
          </w:tcPr>
          <w:p>
            <w:r>
              <w:rPr>
                <w:sz w:val="19"/>
              </w:rPr>
              <w:t>RAG vector retrieval over census SDoH data and PubMed clinical literature for Consult AI Chatbot.</w:t>
            </w:r>
          </w:p>
        </w:tc>
      </w:tr>
      <w:tr>
        <w:tc>
          <w:tcPr>
            <w:tcW w:type="dxa" w:w="2340"/>
            <w:tcMar>
              <w:top w:w="80" w:type="dxa"/>
              <w:bottom w:w="80" w:type="dxa"/>
              <w:left w:w="100" w:type="dxa"/>
              <w:right w:w="100" w:type="dxa"/>
            </w:tcMar>
          </w:tcPr>
          <w:p>
            <w:r>
              <w:rPr>
                <w:sz w:val="19"/>
              </w:rPr>
              <w:t>4-Agent Research Assistant</w:t>
            </w:r>
          </w:p>
        </w:tc>
        <w:tc>
          <w:tcPr>
            <w:tcW w:type="dxa" w:w="2340"/>
            <w:tcMar>
              <w:top w:w="80" w:type="dxa"/>
              <w:bottom w:w="80" w:type="dxa"/>
              <w:left w:w="100" w:type="dxa"/>
              <w:right w:w="100" w:type="dxa"/>
            </w:tcMar>
          </w:tcPr>
          <w:p>
            <w:r>
              <w:rPr>
                <w:sz w:val="19"/>
              </w:rPr>
              <w:t>careequity-agent-backend : 8003</w:t>
            </w:r>
          </w:p>
        </w:tc>
        <w:tc>
          <w:tcPr>
            <w:tcW w:type="dxa" w:w="2340"/>
            <w:tcMar>
              <w:top w:w="80" w:type="dxa"/>
              <w:bottom w:w="80" w:type="dxa"/>
              <w:left w:w="100" w:type="dxa"/>
              <w:right w:w="100" w:type="dxa"/>
            </w:tcMar>
          </w:tcPr>
          <w:p>
            <w:r>
              <w:rPr>
                <w:sz w:val="19"/>
              </w:rPr>
              <w:t>FastAPI / Multi-Agent Framework</w:t>
            </w:r>
          </w:p>
        </w:tc>
        <w:tc>
          <w:tcPr>
            <w:tcW w:type="dxa" w:w="2340"/>
            <w:tcMar>
              <w:top w:w="80" w:type="dxa"/>
              <w:bottom w:w="80" w:type="dxa"/>
              <w:left w:w="100" w:type="dxa"/>
              <w:right w:w="100" w:type="dxa"/>
            </w:tcMar>
          </w:tcPr>
          <w:p>
            <w:r>
              <w:rPr>
                <w:sz w:val="19"/>
              </w:rPr>
              <w:t>Orchestrates 4 specialized agents (Clinical, SDoH, Equity, Policy) to synthesize integrated care plans.</w:t>
            </w:r>
          </w:p>
        </w:tc>
      </w:tr>
      <w:tr>
        <w:tc>
          <w:tcPr>
            <w:tcW w:type="dxa" w:w="2340"/>
            <w:tcMar>
              <w:top w:w="80" w:type="dxa"/>
              <w:bottom w:w="80" w:type="dxa"/>
              <w:left w:w="100" w:type="dxa"/>
              <w:right w:w="100" w:type="dxa"/>
            </w:tcMar>
          </w:tcPr>
          <w:p>
            <w:r>
              <w:rPr>
                <w:sz w:val="19"/>
              </w:rPr>
              <w:t>Knowledge Graph (KG) Engine</w:t>
            </w:r>
          </w:p>
        </w:tc>
        <w:tc>
          <w:tcPr>
            <w:tcW w:type="dxa" w:w="2340"/>
            <w:tcMar>
              <w:top w:w="80" w:type="dxa"/>
              <w:bottom w:w="80" w:type="dxa"/>
              <w:left w:w="100" w:type="dxa"/>
              <w:right w:w="100" w:type="dxa"/>
            </w:tcMar>
          </w:tcPr>
          <w:p>
            <w:r>
              <w:rPr>
                <w:sz w:val="19"/>
              </w:rPr>
              <w:t>careequity-kg-backend : 8004</w:t>
            </w:r>
          </w:p>
        </w:tc>
        <w:tc>
          <w:tcPr>
            <w:tcW w:type="dxa" w:w="2340"/>
            <w:tcMar>
              <w:top w:w="80" w:type="dxa"/>
              <w:bottom w:w="80" w:type="dxa"/>
              <w:left w:w="100" w:type="dxa"/>
              <w:right w:w="100" w:type="dxa"/>
            </w:tcMar>
          </w:tcPr>
          <w:p>
            <w:r>
              <w:rPr>
                <w:sz w:val="19"/>
              </w:rPr>
              <w:t>FastAPI / Neo4j Graph DB</w:t>
            </w:r>
          </w:p>
        </w:tc>
        <w:tc>
          <w:tcPr>
            <w:tcW w:type="dxa" w:w="2340"/>
            <w:tcMar>
              <w:top w:w="80" w:type="dxa"/>
              <w:bottom w:w="80" w:type="dxa"/>
              <w:left w:w="100" w:type="dxa"/>
              <w:right w:w="100" w:type="dxa"/>
            </w:tcMar>
          </w:tcPr>
          <w:p>
            <w:r>
              <w:rPr>
                <w:sz w:val="19"/>
              </w:rPr>
              <w:t>Graph relationships between counties, risk drivers, SVI scores, and intervention strategies.</w:t>
            </w:r>
          </w:p>
        </w:tc>
      </w:tr>
      <w:tr>
        <w:tc>
          <w:tcPr>
            <w:tcW w:type="dxa" w:w="2340"/>
            <w:tcMar>
              <w:top w:w="80" w:type="dxa"/>
              <w:bottom w:w="80" w:type="dxa"/>
              <w:left w:w="100" w:type="dxa"/>
              <w:right w:w="100" w:type="dxa"/>
            </w:tcMar>
          </w:tcPr>
          <w:p>
            <w:r>
              <w:rPr>
                <w:sz w:val="19"/>
              </w:rPr>
              <w:t>NGO Connect Engine</w:t>
            </w:r>
          </w:p>
        </w:tc>
        <w:tc>
          <w:tcPr>
            <w:tcW w:type="dxa" w:w="2340"/>
            <w:tcMar>
              <w:top w:w="80" w:type="dxa"/>
              <w:bottom w:w="80" w:type="dxa"/>
              <w:left w:w="100" w:type="dxa"/>
              <w:right w:w="100" w:type="dxa"/>
            </w:tcMar>
          </w:tcPr>
          <w:p>
            <w:r>
              <w:rPr>
                <w:sz w:val="19"/>
              </w:rPr>
              <w:t>careequity-ngo-backend : 8005</w:t>
            </w:r>
          </w:p>
        </w:tc>
        <w:tc>
          <w:tcPr>
            <w:tcW w:type="dxa" w:w="2340"/>
            <w:tcMar>
              <w:top w:w="80" w:type="dxa"/>
              <w:bottom w:w="80" w:type="dxa"/>
              <w:left w:w="100" w:type="dxa"/>
              <w:right w:w="100" w:type="dxa"/>
            </w:tcMar>
          </w:tcPr>
          <w:p>
            <w:r>
              <w:rPr>
                <w:sz w:val="19"/>
              </w:rPr>
              <w:t>FastAPI / Haversine Geo / SMTP</w:t>
            </w:r>
          </w:p>
        </w:tc>
        <w:tc>
          <w:tcPr>
            <w:tcW w:type="dxa" w:w="2340"/>
            <w:tcMar>
              <w:top w:w="80" w:type="dxa"/>
              <w:bottom w:w="80" w:type="dxa"/>
              <w:left w:w="100" w:type="dxa"/>
              <w:right w:w="100" w:type="dxa"/>
            </w:tcMar>
          </w:tcPr>
          <w:p>
            <w:r>
              <w:rPr>
                <w:sz w:val="19"/>
              </w:rPr>
              <w:t>Geospatial matching of top 3 nearest verified non-profits per intervention domain &amp; SMTP email dispatch.</w:t>
            </w:r>
          </w:p>
        </w:tc>
      </w:tr>
    </w:tbl>
    <w:p>
      <w:pPr>
        <w:pStyle w:val="Heading1"/>
        <w:spacing w:before="240" w:after="80"/>
      </w:pPr>
      <w:r>
        <w:rPr>
          <w:b/>
          <w:color w:val="1D4ED8"/>
          <w:sz w:val="36"/>
        </w:rPr>
        <w:t>2. Key Backend Microservice Details</w:t>
      </w:r>
    </w:p>
    <w:p>
      <w:pPr>
        <w:pStyle w:val="Heading2"/>
        <w:spacing w:before="240" w:after="80"/>
      </w:pPr>
      <w:r>
        <w:rPr>
          <w:b/>
          <w:color w:val="1E3A8A"/>
          <w:sz w:val="28"/>
        </w:rPr>
        <w:t>2.1 ML Disease Risk Prediction Model (ml_pipelineV2.pkl)</w:t>
      </w:r>
    </w:p>
    <w:p>
      <w:r>
        <w:t>The Machine Learning subsystem utilizes a Scikit-Learn multi-label classification pipeline trained on 75,000 synthetic clinical records merged with CDC SVI (Social Vulnerability Index) county census data. It evaluates 19 medical features and 11 SDoH environmental features to compute individual probabilities for Diabetes, Hypertension, Heart Disease, and Asthma.</w:t>
      </w:r>
    </w:p>
    <w:p>
      <w:pPr>
        <w:pStyle w:val="Heading2"/>
        <w:spacing w:before="240" w:after="80"/>
      </w:pPr>
      <w:r>
        <w:rPr>
          <w:b/>
          <w:color w:val="1E3A8A"/>
          <w:sz w:val="28"/>
        </w:rPr>
        <w:t>2.2 4-Agent Synthesis Engine</w:t>
      </w:r>
    </w:p>
    <w:p>
      <w:r>
        <w:t>The research assistant backend orchestrates four autonomous AI agents in sequence:</w:t>
        <w:br/>
        <w:t>• Agent 1 (Clinical Specialist): Analyzes patient vitals, HbA1c, BP, and disease probabilities.</w:t>
        <w:br/>
        <w:t>• Agent 2 (SDoH Strategist): Evaluates county-level poverty, food insecurity, and transportation barriers.</w:t>
        <w:br/>
        <w:t>• Agent 3 (Health Equity Advocate): Formulates culturally tailored outreach strategies.</w:t>
        <w:br/>
        <w:t>• Agent 4 (Policy &amp; Interventions Director): Synthesizes findings into a unified, downloadable clinical care report.</w:t>
      </w:r>
    </w:p>
    <w:p>
      <w:pPr>
        <w:pStyle w:val="Heading2"/>
        <w:spacing w:before="240" w:after="80"/>
      </w:pPr>
      <w:r>
        <w:rPr>
          <w:b/>
          <w:color w:val="1E3A8A"/>
          <w:sz w:val="28"/>
        </w:rPr>
        <w:t>2.3 NGO Connect &amp; Email Dispatch Subsystem</w:t>
      </w:r>
    </w:p>
    <w:p>
      <w:r>
        <w:t>Integrated on port 8005, the NGO Connect engine executes Haversine distance calculations against a database of 1,275 verified non-profits. When a care coordinator selects an intervention (e.g. Housing, Food, Healthcare), the service calculates proximity from patient coordinates and supports direct SMTP email dispatch to facilitate resource referral.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