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4F46E5"/>
          <w:sz w:val="18"/>
        </w:rPr>
        <w:t>CAREEQUITY HEALTH SYSTEM • CLINICAL SUMMARY &amp; DISCHARGE RECORD</w:t>
        <w:br/>
      </w:r>
      <w:r>
        <w:rPr>
          <w:rFonts w:ascii="Arial" w:hAnsi="Arial"/>
          <w:b/>
          <w:color w:val="0F172A"/>
          <w:sz w:val="32"/>
        </w:rPr>
        <w:t>PATIENT DISCHARGE &amp; CLINICAL EVALUATION: ROBERT CHEN</w:t>
      </w:r>
    </w:p>
    <w:p>
      <w:pPr>
        <w:spacing w:after="280"/>
      </w:pPr>
      <w:r>
        <w:rPr>
          <w:color w:val="E2E8F0"/>
        </w:rPr>
        <w:t>_________________________________________________________________________________</w:t>
      </w:r>
    </w:p>
    <w:p>
      <w:pPr>
        <w:spacing w:before="280" w:after="120"/>
      </w:pPr>
      <w:r>
        <w:rPr>
          <w:rFonts w:ascii="Arial" w:hAnsi="Arial"/>
          <w:b/>
          <w:color w:val="4F46E5"/>
          <w:sz w:val="24"/>
        </w:rPr>
        <w:t>1. PATIENT DEMOGRAPHICS &amp; LIFESTYLE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Patient Name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Robert Chen |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UHID / MRN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MRN-5542109</w:t>
            </w:r>
          </w:p>
        </w:tc>
      </w:tr>
      <w:tr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Age / Sex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62 Years / Male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DOB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03/11/1963</w:t>
            </w:r>
          </w:p>
        </w:tc>
      </w:tr>
      <w:tr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Race &amp; Ethnicity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Asian / East Asian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Smoking Status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Former Smoker</w:t>
            </w:r>
          </w:p>
        </w:tc>
      </w:tr>
      <w:tr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Alcohol Use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Moderate (1-2 drinks/week)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Daily Sedentary Time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450 min/day</w:t>
            </w:r>
          </w:p>
        </w:tc>
      </w:tr>
      <w:tr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Target Locations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[['Trego County', 'Kansas', 'United States']]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Phone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9175550192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4F46E5"/>
          <w:sz w:val="24"/>
        </w:rPr>
        <w:t>2. VITAL SIGNS &amp; ANTHROPOMETRICS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Height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178 cm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Weight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85 kg</w:t>
            </w:r>
          </w:p>
        </w:tc>
      </w:tr>
      <w:tr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BMI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26.8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Waist Circumference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96 cm</w:t>
            </w:r>
          </w:p>
        </w:tc>
      </w:tr>
      <w:tr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BP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150/95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Pulse / Heart Rate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88 bpm</w:t>
            </w:r>
          </w:p>
        </w:tc>
      </w:tr>
      <w:tr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Temp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98.4°F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SpO2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95%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4F46E5"/>
          <w:sz w:val="24"/>
        </w:rPr>
        <w:t>3. METABOLIC &amp; LIVER LABORATORY PANELS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HbA1c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6.1%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Fasting Glucose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108 mg/dL</w:t>
            </w:r>
          </w:p>
        </w:tc>
      </w:tr>
      <w:tr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Total Cholesterol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240 mg/dL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LDL Cholesterol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155 mg/dL</w:t>
            </w:r>
          </w:p>
        </w:tc>
      </w:tr>
      <w:tr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HDL Cholesterol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42 mg/dL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Triglycerides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210 mg/dL</w:t>
            </w:r>
          </w:p>
        </w:tc>
      </w:tr>
      <w:tr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ALT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35 U/L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AST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31 U/L</w:t>
            </w:r>
          </w:p>
        </w:tc>
      </w:tr>
      <w:tr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Albumin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4.3 g/dL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Total Bilirubin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0.9 mg/dL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4F46E5"/>
          <w:sz w:val="24"/>
        </w:rPr>
        <w:t>4. CLINICAL CONTEXT &amp; CHRONIC CONDITIONS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Diabetes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No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Hypertension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Yes (150/95 mmHg, High)</w:t>
            </w:r>
          </w:p>
        </w:tc>
      </w:tr>
      <w:tr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Heart Disease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Yes (Coronary Artery Disease Present)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Asthma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Yes (Asthmatic symptoms present, 45%)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4F46E5"/>
          <w:sz w:val="24"/>
        </w:rPr>
        <w:t>5. CHIEF COMPLAINT &amp; DISCHARGE ADVICE</w:t>
      </w:r>
    </w:p>
    <w:p>
      <w:pPr>
        <w:spacing w:before="80"/>
      </w:pPr>
      <w:r>
        <w:rPr>
          <w:b/>
          <w:color w:val="4F46E5"/>
          <w:sz w:val="20"/>
        </w:rPr>
        <w:t xml:space="preserve">Chief Complaint | </w:t>
      </w:r>
      <w:r>
        <w:rPr>
          <w:sz w:val="20"/>
        </w:rPr>
        <w:t>Shortness of breath and chest tightness on exertion</w:t>
        <w:br/>
        <w:br/>
      </w:r>
      <w:r>
        <w:rPr>
          <w:b/>
          <w:color w:val="0F172A"/>
          <w:sz w:val="20"/>
        </w:rPr>
        <w:t>Discharge Advice &amp; Clinical Summary:</w:t>
        <w:br/>
      </w:r>
      <w:r>
        <w:rPr>
          <w:color w:val="334155"/>
          <w:sz w:val="19"/>
        </w:rPr>
        <w:t>Patient has a history of bronchial asthma and hypertension. EKG shows sinus rhythm with minor ST alterations. Advised continuation of daily bronchodilator inhaler and low-sodium diet.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