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0394C" w14:textId="77777777" w:rsidR="00C56DE9" w:rsidRDefault="00000000"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>MRSA</w:t>
      </w:r>
    </w:p>
    <w:tbl>
      <w:tblPr>
        <w:tblW w:w="9360" w:type="dxa"/>
        <w:tblBorders>
          <w:top w:val="single" w:sz="4" w:space="0" w:color="C6D4D9"/>
          <w:left w:val="single" w:sz="4" w:space="0" w:color="C6D4D9"/>
          <w:bottom w:val="single" w:sz="4" w:space="0" w:color="C6D4D9"/>
          <w:right w:val="single" w:sz="4" w:space="0" w:color="C6D4D9"/>
          <w:insideH w:val="single" w:sz="2" w:space="0" w:color="DCE6E9"/>
          <w:insideV w:val="single" w:sz="2" w:space="0" w:color="DCE6E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6DE9" w14:paraId="4EA45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46A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2F42B" w14:textId="77777777" w:rsidR="00C56DE9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Strong</w:t>
            </w:r>
          </w:p>
        </w:tc>
        <w:tc>
          <w:tcPr>
            <w:tcW w:w="4680" w:type="dxa"/>
            <w:shd w:val="clear" w:color="auto" w:fill="246A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E147A" w14:textId="77777777" w:rsidR="00C56DE9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Supportive</w:t>
            </w:r>
          </w:p>
        </w:tc>
      </w:tr>
      <w:tr w:rsidR="00C56DE9" w14:paraId="43A930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CE462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 xml:space="preserve">Known MRSA within 1 </w:t>
            </w:r>
            <w:proofErr w:type="spellStart"/>
            <w:r>
              <w:rPr>
                <w:color w:val="222222"/>
                <w:sz w:val="19"/>
                <w:szCs w:val="19"/>
              </w:rPr>
              <w:t>yr</w:t>
            </w:r>
            <w:proofErr w:type="spellEnd"/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46F7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Recent IV antibiotics (90d)</w:t>
            </w:r>
          </w:p>
        </w:tc>
      </w:tr>
      <w:tr w:rsidR="00C56DE9" w14:paraId="69B124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74066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Necrotizing/cavitary pneumonia, empyema</w:t>
            </w:r>
          </w:p>
        </w:tc>
        <w:tc>
          <w:tcPr>
            <w:tcW w:w="4680" w:type="dxa"/>
            <w:shd w:val="clear" w:color="auto" w:fill="F2F6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70FB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Recent hospitalization (90d)</w:t>
            </w:r>
          </w:p>
        </w:tc>
      </w:tr>
      <w:tr w:rsidR="00C56DE9" w14:paraId="523B58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4071E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Post-influenza pneumonia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1F832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SNF / LTAC</w:t>
            </w:r>
          </w:p>
        </w:tc>
      </w:tr>
      <w:tr w:rsidR="00C56DE9" w14:paraId="1E45F2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CD16B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Purulent or necrotizing SSTI</w:t>
            </w:r>
          </w:p>
        </w:tc>
        <w:tc>
          <w:tcPr>
            <w:tcW w:w="4680" w:type="dxa"/>
            <w:shd w:val="clear" w:color="auto" w:fill="F2F6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ADDA7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Injection drug use</w:t>
            </w:r>
          </w:p>
        </w:tc>
      </w:tr>
      <w:tr w:rsidR="00C56DE9" w14:paraId="213696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DF06F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Hemodialysis, hardware/prosthetics</w:t>
            </w:r>
          </w:p>
        </w:tc>
        <w:tc>
          <w:tcPr>
            <w:tcW w:w="46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DBFE0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Incarceration, contact sports</w:t>
            </w:r>
          </w:p>
        </w:tc>
      </w:tr>
      <w:tr w:rsidR="00C56DE9" w14:paraId="56B005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88518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Septic shock with plausible staph source</w:t>
            </w:r>
          </w:p>
        </w:tc>
        <w:tc>
          <w:tcPr>
            <w:tcW w:w="4680" w:type="dxa"/>
            <w:shd w:val="clear" w:color="auto" w:fill="F2F6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6CDBF" w14:textId="77777777" w:rsidR="00C56DE9" w:rsidRDefault="00000000">
            <w:pPr>
              <w:spacing w:line="250" w:lineRule="auto"/>
            </w:pPr>
            <w:r>
              <w:rPr>
                <w:color w:val="222222"/>
                <w:sz w:val="19"/>
                <w:szCs w:val="19"/>
              </w:rPr>
              <w:t>High local prevalence</w:t>
            </w:r>
          </w:p>
        </w:tc>
      </w:tr>
    </w:tbl>
    <w:p w14:paraId="39BDEC48" w14:textId="77777777" w:rsidR="00C56DE9" w:rsidRDefault="00C56DE9">
      <w:pPr>
        <w:spacing w:after="120"/>
      </w:pPr>
    </w:p>
    <w:p w14:paraId="461E60F8" w14:textId="77777777" w:rsidR="00C56DE9" w:rsidRDefault="00000000"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>Pseudomonas</w:t>
      </w:r>
    </w:p>
    <w:p w14:paraId="167AE9A1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Prior </w:t>
      </w:r>
      <w:r>
        <w:rPr>
          <w:i/>
          <w:iCs/>
          <w:color w:val="222222"/>
        </w:rPr>
        <w:t>Pseudomonas</w:t>
      </w:r>
      <w:r>
        <w:rPr>
          <w:color w:val="222222"/>
        </w:rPr>
        <w:t xml:space="preserve"> isolate, any site, within 1 </w:t>
      </w:r>
      <w:proofErr w:type="spellStart"/>
      <w:r>
        <w:rPr>
          <w:color w:val="222222"/>
        </w:rPr>
        <w:t>yr</w:t>
      </w:r>
      <w:proofErr w:type="spellEnd"/>
    </w:p>
    <w:p w14:paraId="04618FAC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Structural lung disease: bronchiectasis, CF, severe COPD on chronic steroids</w:t>
      </w:r>
    </w:p>
    <w:p w14:paraId="2DD16638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Hospitalization ≥5 days, ICU stay, mechanical ventilation</w:t>
      </w:r>
    </w:p>
    <w:p w14:paraId="554B36AD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Neutropenia, transplant, significant immunosuppression</w:t>
      </w:r>
    </w:p>
    <w:p w14:paraId="417D7DDD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Recent broad-spectrum IV antibiotics (90d)</w:t>
      </w:r>
    </w:p>
    <w:p w14:paraId="06525A29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Devices: trach, chronic urinary catheter, PEG, chronic wounds, burns</w:t>
      </w:r>
    </w:p>
    <w:p w14:paraId="20598654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Classic niches: malignant otitis externa, hot-tub folliculitis, sneaker puncture osteo, ecthyma gangrenosum</w:t>
      </w:r>
    </w:p>
    <w:p w14:paraId="0D8D1156" w14:textId="77777777" w:rsidR="00C56DE9" w:rsidRDefault="00000000"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>VRE</w:t>
      </w:r>
    </w:p>
    <w:p w14:paraId="77DEB601" w14:textId="77777777" w:rsidR="00C56DE9" w:rsidRDefault="00000000">
      <w:pPr>
        <w:spacing w:after="100" w:line="254" w:lineRule="auto"/>
      </w:pPr>
      <w:r>
        <w:rPr>
          <w:color w:val="222222"/>
        </w:rPr>
        <w:t>Empiric coverage is almost never indicated. Triggers:</w:t>
      </w:r>
    </w:p>
    <w:p w14:paraId="35F9332F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Known VRE colonization </w:t>
      </w:r>
      <w:r>
        <w:rPr>
          <w:b/>
          <w:bCs/>
          <w:color w:val="222222"/>
        </w:rPr>
        <w:t>plus</w:t>
      </w:r>
      <w:r>
        <w:rPr>
          <w:color w:val="222222"/>
        </w:rPr>
        <w:t xml:space="preserve"> a plausible enterococcal source</w:t>
      </w:r>
    </w:p>
    <w:p w14:paraId="342D5E6D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Liver transplant with hepatobiliary source</w:t>
      </w:r>
    </w:p>
    <w:p w14:paraId="4B8C58F5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Prolonged hospitalization with heavy vancomycin/cephalosporin exposure</w:t>
      </w:r>
    </w:p>
    <w:p w14:paraId="623D9547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Neutropenic fever, known colonization, hemodynamically unstable</w:t>
      </w:r>
    </w:p>
    <w:p w14:paraId="6F94C2AB" w14:textId="77777777" w:rsidR="00C56DE9" w:rsidRDefault="00000000">
      <w:pPr>
        <w:spacing w:before="100" w:after="100" w:line="254" w:lineRule="auto"/>
      </w:pPr>
      <w:r>
        <w:rPr>
          <w:b/>
          <w:bCs/>
          <w:color w:val="222222"/>
        </w:rPr>
        <w:t>Daptomycin is inactivated by surfactant — never for pneumonia.</w:t>
      </w:r>
      <w:r>
        <w:rPr>
          <w:color w:val="222222"/>
        </w:rPr>
        <w:t xml:space="preserve"> Linezolid is bacteriostatic and generally </w:t>
      </w:r>
      <w:proofErr w:type="gramStart"/>
      <w:r>
        <w:rPr>
          <w:color w:val="222222"/>
        </w:rPr>
        <w:t>second-line</w:t>
      </w:r>
      <w:proofErr w:type="gramEnd"/>
      <w:r>
        <w:rPr>
          <w:color w:val="222222"/>
        </w:rPr>
        <w:t xml:space="preserve"> for bacteremia; serotonin syndrome risk with SSRIs.</w:t>
      </w:r>
    </w:p>
    <w:p w14:paraId="61CDA98D" w14:textId="77777777" w:rsidR="00C56DE9" w:rsidRDefault="00000000"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lastRenderedPageBreak/>
        <w:t>ESBL</w:t>
      </w:r>
    </w:p>
    <w:p w14:paraId="29EE762B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Prior ESBL isolate</w:t>
      </w:r>
    </w:p>
    <w:p w14:paraId="3C381155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Travel to high-prevalence regions (Indian subcontinent, SE Asia, Middle East, North Africa)</w:t>
      </w:r>
    </w:p>
    <w:p w14:paraId="4DFDCF2E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Recent β-lactam or fluoroquinolone exposure</w:t>
      </w:r>
    </w:p>
    <w:p w14:paraId="1D0207BB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Recurrent UTI, chronic catheter, urologic instrumentation</w:t>
      </w:r>
    </w:p>
    <w:p w14:paraId="71EF599C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LTAC residence</w:t>
      </w:r>
    </w:p>
    <w:p w14:paraId="064DBD39" w14:textId="77777777" w:rsidR="00C56DE9" w:rsidRDefault="00000000">
      <w:pPr>
        <w:spacing w:before="100" w:after="100" w:line="254" w:lineRule="auto"/>
      </w:pPr>
      <w:r>
        <w:rPr>
          <w:b/>
          <w:bCs/>
          <w:color w:val="222222"/>
        </w:rPr>
        <w:t>Do not use pip-</w:t>
      </w:r>
      <w:proofErr w:type="spellStart"/>
      <w:r>
        <w:rPr>
          <w:b/>
          <w:bCs/>
          <w:color w:val="222222"/>
        </w:rPr>
        <w:t>tazo</w:t>
      </w:r>
      <w:proofErr w:type="spellEnd"/>
      <w:r>
        <w:rPr>
          <w:b/>
          <w:bCs/>
          <w:color w:val="222222"/>
        </w:rPr>
        <w:t xml:space="preserve"> for ESBL bacteremia</w:t>
      </w:r>
      <w:r>
        <w:rPr>
          <w:color w:val="222222"/>
        </w:rPr>
        <w:t xml:space="preserve">. Cefepime is unreliable (inoculum effect). Ertapenem if not critically ill and no Pseudomonas concern; meropenem otherwise.</w:t>
      </w:r>
    </w:p>
    <w:p w14:paraId="3F979FF7" w14:textId="77777777" w:rsidR="00C56DE9" w:rsidRDefault="00C56DE9">
      <w:pPr>
        <w:spacing w:after="120"/>
      </w:pPr>
    </w:p>
    <w:p w14:paraId="36E096D4" w14:textId="77777777" w:rsidR="00C56DE9" w:rsidRDefault="00000000"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>Anaerobes</w:t>
      </w:r>
    </w:p>
    <w:p w14:paraId="61072386" w14:textId="77777777" w:rsidR="00C56DE9" w:rsidRDefault="00000000">
      <w:pPr>
        <w:spacing w:after="100" w:line="254" w:lineRule="auto"/>
      </w:pPr>
      <w:r>
        <w:rPr>
          <w:b/>
          <w:bCs/>
          <w:color w:val="222222"/>
        </w:rPr>
        <w:t>Cover:</w:t>
      </w:r>
      <w:r>
        <w:rPr>
          <w:color w:val="222222"/>
        </w:rPr>
        <w:t xml:space="preserve"> perforation, diverticulitis, appendicitis, cholangitis, intra-abdominal abscess; lung abscess, necrotizing pneumonia, empyema; odontogenic and deep neck infection, Ludwig angina, </w:t>
      </w:r>
      <w:proofErr w:type="spellStart"/>
      <w:r>
        <w:rPr>
          <w:color w:val="222222"/>
        </w:rPr>
        <w:t>Lemierre</w:t>
      </w:r>
      <w:proofErr w:type="spellEnd"/>
      <w:r>
        <w:rPr>
          <w:color w:val="222222"/>
        </w:rPr>
        <w:t xml:space="preserve">; diabetic foot with necrosis or gangrene; necrotizing soft tissue infection; bites; PID, </w:t>
      </w:r>
      <w:proofErr w:type="spellStart"/>
      <w:r>
        <w:rPr>
          <w:color w:val="222222"/>
        </w:rPr>
        <w:t>tubo</w:t>
      </w:r>
      <w:proofErr w:type="spellEnd"/>
      <w:r>
        <w:rPr>
          <w:color w:val="222222"/>
        </w:rPr>
        <w:t>-ovarian abscess, septic abortion; brain abscess; any GU tract reconstructed with bowel.</w:t>
      </w:r>
    </w:p>
    <w:p w14:paraId="38F49761" w14:textId="77777777" w:rsidR="00C56DE9" w:rsidRDefault="00000000">
      <w:pPr>
        <w:spacing w:after="100" w:line="254" w:lineRule="auto"/>
      </w:pPr>
      <w:r>
        <w:rPr>
          <w:i/>
          <w:iCs/>
          <w:color w:val="222222"/>
        </w:rPr>
        <w:t/>
      </w:r>
      <w:r>
        <w:rPr>
          <w:color w:val="222222"/>
        </w:rPr>
        <w:t xml:space="preserve">Amp-sulbactam has ~40–50% </w:t>
      </w:r>
      <w:r>
        <w:rPr>
          <w:i/>
          <w:iCs/>
          <w:color w:val="222222"/>
        </w:rPr>
        <w:t>E. coli</w:t>
      </w:r>
      <w:r>
        <w:rPr>
          <w:color w:val="222222"/>
        </w:rPr>
        <w:t xml:space="preserve"> resistance in many US regions.</w:t>
      </w:r>
    </w:p>
    <w:p w14:paraId="794B9629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Sepsis, source unknown</w:t>
      </w:r>
    </w:p>
    <w:p w14:paraId="63CC89EB" w14:textId="77777777" w:rsidR="00C56DE9" w:rsidRDefault="00000000">
      <w:pPr>
        <w:spacing w:after="100" w:line="254" w:lineRule="auto"/>
      </w:pPr>
      <w:r>
        <w:rPr>
          <w:b/>
          <w:bCs/>
          <w:color w:val="222222"/>
        </w:rPr>
        <w:t>Vancomycin + pip-</w:t>
      </w:r>
      <w:proofErr w:type="spellStart"/>
      <w:r>
        <w:rPr>
          <w:b/>
          <w:bCs/>
          <w:color w:val="222222"/>
        </w:rPr>
        <w:t>tazo</w:t>
      </w:r>
      <w:proofErr w:type="spellEnd"/>
      <w:r>
        <w:rPr>
          <w:color w:val="222222"/>
        </w:rPr>
        <w:t xml:space="preserve">, or </w:t>
      </w:r>
      <w:r>
        <w:rPr>
          <w:b/>
          <w:bCs/>
          <w:color w:val="222222"/>
        </w:rPr>
        <w:t>vancomycin + cefepime + metronidazole</w:t>
      </w:r>
      <w:r>
        <w:rPr>
          <w:color w:val="222222"/>
        </w:rPr>
        <w:t xml:space="preserve"> if intra-abdominal source plausible. Meropenem if prior ESBL/MDR.</w:t>
      </w:r>
    </w:p>
    <w:p w14:paraId="3628F51D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Community-acquired pneumonia</w:t>
      </w:r>
    </w:p>
    <w:p w14:paraId="5C5018D9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Non-severe: ceftriaxone + azithromycin, or respiratory fluoroquinolone</w:t>
      </w:r>
    </w:p>
    <w:p w14:paraId="07D62955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Severe/ICU: β-lactam + macrolide preferred over β-lactam + fluoroquinolone</w:t>
      </w:r>
    </w:p>
    <w:p w14:paraId="3DFC55F4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MRSA coverage: prior isolate, cavitary/necrotizing, empyema, post-influenza, gross hemoptysis, or severe disease with shock plus risk factors. Linezolid often favored for necrotizing MRSA pneumonia (ELF penetration, toxin suppression)</w:t>
      </w:r>
    </w:p>
    <w:p w14:paraId="147A54B3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Pseudomonas coverage: prior isolate, bronchiectasis/CF/severe COPD, recent hospitalization with IV antibiotics</w:t>
      </w:r>
    </w:p>
    <w:p w14:paraId="34100F73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Oseltamivir in season</w:t>
      </w:r>
    </w:p>
    <w:p w14:paraId="672D7FFF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HAP / VAP</w:t>
      </w:r>
    </w:p>
    <w:p w14:paraId="579455F1" w14:textId="77777777" w:rsidR="00C56DE9" w:rsidRDefault="00000000">
      <w:pPr>
        <w:spacing w:after="100" w:line="254" w:lineRule="auto"/>
      </w:pPr>
      <w:r>
        <w:rPr>
          <w:color w:val="222222"/>
        </w:rPr>
        <w:t>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>, cefepime, or meropenem. Add vancomycin/linezolid for MRSA risk factors, unit prevalence &gt;20% or unknown, or high mortality risk. VAP covers MRSA + Pseudomonas + other GNR. Second gram-negative agent only for septic shock, prior IV antibiotics (90d), ≥5 days hospitalized or ARDS preceding, acute RRT, or unit MDR prevalence &gt;10%.</w:t>
      </w:r>
    </w:p>
    <w:p w14:paraId="70B1E580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Urinary tract</w:t>
      </w:r>
    </w:p>
    <w:p w14:paraId="73BE4F5D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Low risk pyelonephritis: </w:t>
      </w:r>
      <w:r>
        <w:rPr>
          <w:b/>
          <w:bCs/>
          <w:color w:val="222222"/>
        </w:rPr>
        <w:t>ceftriaxone</w:t>
      </w:r>
    </w:p>
    <w:p w14:paraId="66F7AA54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Healthcare exposure, catheter, recent antibiotics, prior resistant isolate: </w:t>
      </w:r>
      <w:r>
        <w:rPr>
          <w:b/>
          <w:bCs/>
          <w:color w:val="222222"/>
        </w:rPr>
        <w:t>cefepime or pip-</w:t>
      </w:r>
      <w:proofErr w:type="spellStart"/>
      <w:r>
        <w:rPr>
          <w:b/>
          <w:bCs/>
          <w:color w:val="222222"/>
        </w:rPr>
        <w:t>tazo</w:t>
      </w:r>
      <w:proofErr w:type="spellEnd"/>
    </w:p>
    <w:p w14:paraId="464E48FC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Prior ESBL: </w:t>
      </w:r>
      <w:r>
        <w:rPr>
          <w:b/>
          <w:bCs/>
          <w:color w:val="222222"/>
        </w:rPr>
        <w:t>meropenem or ertapenem</w:t>
      </w:r>
    </w:p>
    <w:p w14:paraId="4452B7AD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Urosepsis: cefepime or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>, ± vancomycin for hardware, prior MRSA, or shock</w:t>
      </w:r>
    </w:p>
    <w:p w14:paraId="345D304E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Add </w:t>
      </w:r>
      <w:r>
        <w:rPr>
          <w:b/>
          <w:bCs/>
          <w:color w:val="222222"/>
        </w:rPr>
        <w:t>ampicillin</w:t>
      </w:r>
      <w:r>
        <w:rPr>
          <w:color w:val="222222"/>
        </w:rPr>
        <w:t xml:space="preserve"> when enterococcus is plausible — prior instrumentation, indwelling stent, chronic catheter</w:t>
      </w:r>
    </w:p>
    <w:p w14:paraId="7612EC9C" w14:textId="77777777" w:rsidR="00C56DE9" w:rsidRDefault="00000000">
      <w:pPr>
        <w:spacing w:before="100" w:after="100" w:line="254" w:lineRule="auto"/>
      </w:pPr>
      <w:r>
        <w:rPr>
          <w:b/>
          <w:bCs/>
          <w:color w:val="222222"/>
        </w:rPr>
        <w:t>Infected obstructing stone:</w:t>
      </w:r>
      <w:r>
        <w:rPr>
          <w:color w:val="222222"/>
        </w:rPr>
        <w:t xml:space="preserve"> </w:t>
      </w:r>
      <w:r>
        <w:rPr>
          <w:i/>
          <w:iCs/>
          <w:color w:val="222222"/>
        </w:rPr>
        <w:t/>
      </w:r>
      <w:r>
        <w:rPr>
          <w:color w:val="222222"/>
        </w:rPr>
        <w:t xml:space="preserve"/>
      </w:r>
      <w:r>
        <w:rPr>
          <w:i/>
          <w:iCs/>
          <w:color w:val="222222"/>
        </w:rPr>
        <w:t/>
      </w:r>
      <w:r>
        <w:rPr>
          <w:color w:val="222222"/>
        </w:rPr>
        <w:t xml:space="preserve"/>
      </w:r>
      <w:r>
        <w:rPr>
          <w:i/>
          <w:iCs/>
          <w:color w:val="222222"/>
        </w:rPr>
        <w:t/>
      </w:r>
      <w:r>
        <w:rPr>
          <w:color w:val="222222"/>
        </w:rPr>
        <w:t xml:space="preserve"/>
      </w:r>
      <w:r>
        <w:rPr>
          <w:i/>
          <w:iCs/>
          <w:color w:val="222222"/>
        </w:rPr>
        <w:t/>
      </w:r>
      <w:r>
        <w:rPr>
          <w:color w:val="222222"/>
        </w:rPr>
        <w:t xml:space="preserve"/>
      </w:r>
      <w:r>
        <w:rPr>
          <w:i/>
          <w:iCs/>
          <w:color w:val="222222"/>
        </w:rPr>
        <w:t/>
      </w:r>
      <w:r>
        <w:rPr>
          <w:color w:val="222222"/>
        </w:rPr>
        <w:t xml:space="preserve"/>
      </w:r>
      <w:r>
        <w:rPr>
          <w:i/>
          <w:iCs/>
          <w:color w:val="222222"/>
        </w:rPr>
        <w:t/>
      </w:r>
      <w:r>
        <w:rPr>
          <w:color w:val="222222"/>
        </w:rPr>
        <w:t>Ceftriaxone if community-acquired and low risk; cefepime or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 xml:space="preserve"> if instrumented, stented, healthcare-exposed, or septic; meropenem if prior ESBL; vancomycin for shock, hardware, or prior MRSA. </w:t>
      </w:r>
      <w:r>
        <w:rPr>
          <w:b/>
          <w:bCs/>
          <w:color w:val="222222"/>
        </w:rPr>
        <w:t>No anaerobic coverage.</w:t>
      </w:r>
      <w:r>
        <w:rPr>
          <w:color w:val="222222"/>
        </w:rPr>
        <w:t xml:space="preserve"> A struvite stone means a urease producer has been colonizing that system for a long time — </w:t>
      </w:r>
      <w:r>
        <w:rPr>
          <w:i/>
          <w:iCs/>
          <w:color w:val="222222"/>
        </w:rPr>
        <w:t>Proteus</w:t>
      </w:r>
      <w:r>
        <w:rPr>
          <w:color w:val="222222"/>
        </w:rPr>
        <w:t xml:space="preserve">, </w:t>
      </w:r>
      <w:r>
        <w:rPr>
          <w:i/>
          <w:iCs/>
          <w:color w:val="222222"/>
        </w:rPr>
        <w:t>Providencia</w:t>
      </w:r>
      <w:r>
        <w:rPr>
          <w:color w:val="222222"/>
        </w:rPr>
        <w:t xml:space="preserve">, </w:t>
      </w:r>
      <w:proofErr w:type="spellStart"/>
      <w:r>
        <w:rPr>
          <w:i/>
          <w:iCs/>
          <w:color w:val="222222"/>
        </w:rPr>
        <w:t>Morganella</w:t>
      </w:r>
      <w:proofErr w:type="spellEnd"/>
      <w:r>
        <w:rPr>
          <w:color w:val="222222"/>
        </w:rPr>
        <w:t xml:space="preserve">, </w:t>
      </w:r>
      <w:r>
        <w:rPr>
          <w:i/>
          <w:iCs/>
          <w:color w:val="222222"/>
        </w:rPr>
        <w:t>Klebsiella</w:t>
      </w:r>
      <w:r>
        <w:rPr>
          <w:color w:val="222222"/>
        </w:rPr>
        <w:t>.</w:t>
      </w:r>
    </w:p>
    <w:p w14:paraId="4F0C196D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Intra-abdominal</w:t>
      </w:r>
    </w:p>
    <w:p w14:paraId="1E385513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Community-acquired, mild-moderate: ceftriaxone + metronidazole, ertapenem, or cefoxitin</w:t>
      </w:r>
    </w:p>
    <w:p w14:paraId="722471A5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Community-acquired, severe: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>, cefepime + metronidazole, or meropenem</w:t>
      </w:r>
    </w:p>
    <w:p w14:paraId="7B28CC89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Healthcare-associated/postoperative: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 xml:space="preserve"> or meropenem ± vancomycin ± echinocandin</w:t>
      </w:r>
    </w:p>
    <w:p w14:paraId="673B9EE0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Add enterococcal coverage: healthcare-associated, postoperative, immunosuppressed, prosthetic valve, recurrent</w:t>
      </w:r>
    </w:p>
    <w:p w14:paraId="754AE1FF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Add antifungal: upper GI perforation, recurrent perforation, severe disease, immunosuppression. Echinocandin if critically ill, fluconazole if stable</w:t>
      </w:r>
    </w:p>
    <w:p w14:paraId="54CCDFAF" w14:textId="77777777" w:rsidR="00C56DE9" w:rsidRDefault="00000000">
      <w:pPr>
        <w:spacing w:before="100" w:after="40" w:line="254" w:lineRule="auto"/>
      </w:pPr>
      <w:r>
        <w:rPr>
          <w:b/>
          <w:bCs/>
          <w:color w:val="222222"/>
        </w:rPr>
        <w:t>SBP:</w:t>
      </w:r>
      <w:r>
        <w:rPr>
          <w:color w:val="222222"/>
        </w:rPr>
        <w:t xml:space="preserve"> ceftriaxone. Healthcare-associated or recent antibiotics →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 xml:space="preserve"> or carbapenem.</w:t>
      </w:r>
    </w:p>
    <w:p w14:paraId="52AE1391" w14:textId="77777777" w:rsidR="00C56DE9" w:rsidRDefault="00000000">
      <w:pPr>
        <w:spacing w:after="40" w:line="254" w:lineRule="auto"/>
      </w:pPr>
      <w:r>
        <w:rPr>
          <w:b/>
          <w:bCs/>
          <w:color w:val="222222"/>
        </w:rPr>
        <w:t>Cholangitis:</w:t>
      </w:r>
      <w:r>
        <w:rPr>
          <w:color w:val="222222"/>
        </w:rPr>
        <w:t xml:space="preserve"> ceftriaxone + metronidazole or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 xml:space="preserve"> — plus ERCP.</w:t>
      </w:r>
    </w:p>
    <w:p w14:paraId="7B317717" w14:textId="77777777" w:rsidR="00C56DE9" w:rsidRDefault="00000000">
      <w:pPr>
        <w:spacing w:after="40" w:line="254" w:lineRule="auto"/>
      </w:pPr>
      <w:r>
        <w:rPr>
          <w:b/>
          <w:bCs/>
          <w:color w:val="222222"/>
        </w:rPr>
        <w:t>Necrotizing pancreatitis:</w:t>
      </w:r>
      <w:r>
        <w:rPr>
          <w:color w:val="222222"/>
        </w:rPr>
        <w:t xml:space="preserve"> no prophylaxis. Treat only documented infected necrosis (carbapenems penetrate best).</w:t>
      </w:r>
    </w:p>
    <w:p w14:paraId="33B2B042" w14:textId="77777777" w:rsidR="00C56DE9" w:rsidRDefault="00000000">
      <w:pPr>
        <w:spacing w:after="100" w:line="254" w:lineRule="auto"/>
      </w:pPr>
      <w:r>
        <w:rPr>
          <w:b/>
          <w:bCs/>
          <w:color w:val="222222"/>
        </w:rPr>
        <w:t>C. difficile:</w:t>
      </w:r>
      <w:r>
        <w:rPr>
          <w:color w:val="222222"/>
        </w:rPr>
        <w:t xml:space="preserve"> oral vancomycin or fidaxomicin. Fulminant → oral vancomycin + IV metronidazole, surgical consult.</w:t>
      </w:r>
    </w:p>
    <w:p w14:paraId="6920940A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Skin and soft tissue</w:t>
      </w:r>
    </w:p>
    <w:p w14:paraId="21DC2916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proofErr w:type="spellStart"/>
      <w:r>
        <w:rPr>
          <w:color w:val="222222"/>
        </w:rPr>
        <w:t>Nonpurulent</w:t>
      </w:r>
      <w:proofErr w:type="spellEnd"/>
      <w:r>
        <w:rPr>
          <w:color w:val="222222"/>
        </w:rPr>
        <w:t xml:space="preserve"> cellulitis: </w:t>
      </w:r>
      <w:r>
        <w:rPr>
          <w:b/>
          <w:bCs/>
          <w:color w:val="222222"/>
        </w:rPr>
        <w:t>cefazolin or ceftriaxone</w:t>
      </w:r>
      <w:r>
        <w:rPr>
          <w:color w:val="222222"/>
        </w:rPr>
        <w:t xml:space="preserve"> — streptococcal disease, MRSA coverage not routine</w:t>
      </w:r>
    </w:p>
    <w:p w14:paraId="16210896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Purulent/abscess: I&amp;D is the treatment; TMP-SMX or doxycycline, vancomycin if systemically ill</w:t>
      </w:r>
    </w:p>
    <w:p w14:paraId="0C5322EF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Severe: vancomycin + pip-</w:t>
      </w:r>
      <w:proofErr w:type="spellStart"/>
      <w:r>
        <w:rPr>
          <w:color w:val="222222"/>
        </w:rPr>
        <w:t>tazo</w:t>
      </w:r>
      <w:proofErr w:type="spellEnd"/>
    </w:p>
    <w:p w14:paraId="6C6FE664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lastRenderedPageBreak/>
        <w:t>Necrotizing: vancomycin (or linezolid) +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 xml:space="preserve"> (or meropenem) + </w:t>
      </w:r>
      <w:r>
        <w:rPr>
          <w:b/>
          <w:bCs/>
          <w:color w:val="222222"/>
        </w:rPr>
        <w:t>clindamycin for toxin suppression</w:t>
      </w:r>
      <w:r>
        <w:rPr>
          <w:color w:val="222222"/>
        </w:rPr>
        <w:t>; debridement is the treatment. Consider IVIG for streptococcal TSS</w:t>
      </w:r>
    </w:p>
    <w:p w14:paraId="1BE673AE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>Diabetic foot, moderate-severe: amp-sulbactam, ertapenem, or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>; vancomycin for MRSA risk; Pseudomonas coverage for maceration, water exposure, prior isolate, or treatment failure</w:t>
      </w:r>
    </w:p>
    <w:p w14:paraId="72F09C85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Bites: amp-sulbactam or </w:t>
      </w:r>
      <w:proofErr w:type="spellStart"/>
      <w:r>
        <w:rPr>
          <w:color w:val="222222"/>
        </w:rPr>
        <w:t>amox-clav</w:t>
      </w:r>
      <w:proofErr w:type="spellEnd"/>
      <w:r>
        <w:rPr>
          <w:color w:val="222222"/>
        </w:rPr>
        <w:t xml:space="preserve"> (</w:t>
      </w:r>
      <w:r>
        <w:rPr>
          <w:i/>
          <w:iCs/>
          <w:color w:val="222222"/>
        </w:rPr>
        <w:t>Pasteurella</w:t>
      </w:r>
      <w:r>
        <w:rPr>
          <w:color w:val="222222"/>
        </w:rPr>
        <w:t xml:space="preserve">, </w:t>
      </w:r>
      <w:proofErr w:type="spellStart"/>
      <w:r>
        <w:rPr>
          <w:i/>
          <w:iCs/>
          <w:color w:val="222222"/>
        </w:rPr>
        <w:t>Eikenella</w:t>
      </w:r>
      <w:proofErr w:type="spellEnd"/>
      <w:r>
        <w:rPr>
          <w:color w:val="222222"/>
        </w:rPr>
        <w:t xml:space="preserve">, </w:t>
      </w:r>
      <w:proofErr w:type="spellStart"/>
      <w:r>
        <w:rPr>
          <w:i/>
          <w:iCs/>
          <w:color w:val="222222"/>
        </w:rPr>
        <w:t>Capnocytophaga</w:t>
      </w:r>
      <w:proofErr w:type="spellEnd"/>
      <w:r>
        <w:rPr>
          <w:color w:val="222222"/>
        </w:rPr>
        <w:t xml:space="preserve">). Cephalexin and clindamycin miss both </w:t>
      </w:r>
      <w:r>
        <w:rPr>
          <w:i/>
          <w:iCs/>
          <w:color w:val="222222"/>
        </w:rPr>
        <w:t>Pasteurella</w:t>
      </w:r>
      <w:r>
        <w:rPr>
          <w:color w:val="222222"/>
        </w:rPr>
        <w:t xml:space="preserve"> and </w:t>
      </w:r>
      <w:proofErr w:type="spellStart"/>
      <w:r>
        <w:rPr>
          <w:i/>
          <w:iCs/>
          <w:color w:val="222222"/>
        </w:rPr>
        <w:t>Eikenella</w:t>
      </w:r>
      <w:proofErr w:type="spellEnd"/>
    </w:p>
    <w:p w14:paraId="13B19101" w14:textId="77777777" w:rsidR="00C56DE9" w:rsidRDefault="00000000"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Salt/brackish water with cirrhosis → </w:t>
      </w:r>
      <w:r>
        <w:rPr>
          <w:i/>
          <w:iCs/>
          <w:color w:val="222222"/>
        </w:rPr>
        <w:t>Vibrio vulnificus</w:t>
      </w:r>
      <w:r>
        <w:rPr>
          <w:color w:val="222222"/>
        </w:rPr>
        <w:t xml:space="preserve">: doxycycline + ceftriaxone. Fresh water → </w:t>
      </w:r>
      <w:r>
        <w:rPr>
          <w:i/>
          <w:iCs/>
          <w:color w:val="222222"/>
        </w:rPr>
        <w:t>Aeromonas</w:t>
      </w:r>
      <w:r>
        <w:rPr>
          <w:color w:val="222222"/>
        </w:rPr>
        <w:t>: cipro or ceftriaxone</w:t>
      </w:r>
    </w:p>
    <w:p w14:paraId="1E14A26A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Meningitis</w:t>
      </w:r>
    </w:p>
    <w:p w14:paraId="18A78830" w14:textId="77777777" w:rsidR="00C56DE9" w:rsidRDefault="00000000">
      <w:pPr>
        <w:spacing w:after="100" w:line="254" w:lineRule="auto"/>
      </w:pPr>
      <w:r>
        <w:rPr>
          <w:color w:val="222222"/>
        </w:rPr>
        <w:t xml:space="preserve">Vancomycin + ceftriaxone. Add </w:t>
      </w:r>
      <w:r>
        <w:rPr>
          <w:b/>
          <w:bCs/>
          <w:color w:val="222222"/>
        </w:rPr>
        <w:t>ampicillin</w:t>
      </w:r>
      <w:r>
        <w:rPr>
          <w:color w:val="222222"/>
        </w:rPr>
        <w:t xml:space="preserve"> for </w:t>
      </w:r>
      <w:r>
        <w:rPr>
          <w:i/>
          <w:iCs/>
          <w:color w:val="222222"/>
        </w:rPr>
        <w:t>Listeria</w:t>
      </w:r>
      <w:r>
        <w:rPr>
          <w:color w:val="222222"/>
        </w:rPr>
        <w:t xml:space="preserve"> if &gt;50, immunocompromised, pregnant, or alcohol use disorder. Post-neurosurgical/shunt/penetrating trauma → vancomycin + cefepime or meropenem. Add acyclovir for encephalitic features. Do not delay antibiotics for imaging or LP.</w:t>
      </w:r>
    </w:p>
    <w:p w14:paraId="6E205E72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Endocarditis</w:t>
      </w:r>
    </w:p>
    <w:p w14:paraId="6AD4206A" w14:textId="77777777" w:rsidR="00C56DE9" w:rsidRDefault="00000000">
      <w:pPr>
        <w:spacing w:after="100" w:line="254" w:lineRule="auto"/>
      </w:pPr>
      <w:r>
        <w:rPr>
          <w:color w:val="222222"/>
        </w:rPr>
        <w:t>Native valve: vancomycin ± ceftriaxone; add antipseudomonal coverage for PWID. Prosthetic valve: vancomycin + gentamicin + rifampin ± cefepime.</w:t>
      </w:r>
    </w:p>
    <w:p w14:paraId="66EC7D03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Neutropenic fever</w:t>
      </w:r>
    </w:p>
    <w:p w14:paraId="1984DBB2" w14:textId="77777777" w:rsidR="00C56DE9" w:rsidRDefault="00000000">
      <w:pPr>
        <w:spacing w:after="100" w:line="254" w:lineRule="auto"/>
      </w:pPr>
      <w:r>
        <w:rPr>
          <w:color w:val="222222"/>
        </w:rPr>
        <w:t>Antipseudomonal β-lactam monotherapy — cefepime, pip-</w:t>
      </w:r>
      <w:proofErr w:type="spellStart"/>
      <w:r>
        <w:rPr>
          <w:color w:val="222222"/>
        </w:rPr>
        <w:t>tazo</w:t>
      </w:r>
      <w:proofErr w:type="spellEnd"/>
      <w:r>
        <w:rPr>
          <w:color w:val="222222"/>
        </w:rPr>
        <w:t>, meropenem, or imipenem. Add vancomycin only for hemodynamic instability, pneumonia, suspected line infection, SSTI, known MRSA colonization, or severe mucositis on fluoroquinolone prophylaxis. Antifungal for persistent fever: echinocandin, liposomal amphotericin, or mold-active azole.</w:t>
      </w:r>
    </w:p>
    <w:p w14:paraId="18ECFBF5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Bone and joint</w:t>
      </w:r>
    </w:p>
    <w:p w14:paraId="568A93A2" w14:textId="77777777" w:rsidR="00C56DE9" w:rsidRDefault="00000000">
      <w:pPr>
        <w:spacing w:after="100" w:line="254" w:lineRule="auto"/>
      </w:pPr>
      <w:r>
        <w:rPr>
          <w:color w:val="222222"/>
        </w:rPr>
        <w:t xml:space="preserve">Septic arthritis: vancomycin + ceftriaxone (cefepime for Pseudomonas risk or PWID); gonococcal → ceftriaxone. </w:t>
      </w:r>
      <w:r>
        <w:rPr>
          <w:b/>
          <w:bCs/>
          <w:color w:val="222222"/>
        </w:rPr>
        <w:t>Vertebral osteomyelitis: if hemodynamically stable, don't start empirics</w:t>
      </w:r>
      <w:r>
        <w:rPr>
          <w:color w:val="222222"/>
        </w:rPr>
        <w:t xml:space="preserve"> — blind therapy commits the patient to six weeks and burns the diagnosis. Prosthetic joint: vancomycin + cefepime, coordinate with ortho.</w:t>
      </w:r>
    </w:p>
    <w:p w14:paraId="1D4E9F72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Line infection</w:t>
      </w:r>
    </w:p>
    <w:p w14:paraId="6C4799F9" w14:textId="77777777" w:rsidR="00C56DE9" w:rsidRDefault="00000000">
      <w:pPr>
        <w:spacing w:after="100" w:line="254" w:lineRule="auto"/>
      </w:pPr>
      <w:r>
        <w:rPr>
          <w:color w:val="222222"/>
        </w:rPr>
        <w:t xml:space="preserve">Vancomycin + antipseudomonal β-lactam. Add echinocandin for TPN, femoral line, prolonged broad-spectrum antibiotics, hematologic malignancy, transplant, or multi-site </w:t>
      </w:r>
      <w:r>
        <w:rPr>
          <w:i/>
          <w:iCs/>
          <w:color w:val="222222"/>
        </w:rPr>
        <w:t>Candida</w:t>
      </w:r>
      <w:r>
        <w:rPr>
          <w:color w:val="222222"/>
        </w:rPr>
        <w:t xml:space="preserve"> colonization.</w:t>
      </w:r>
    </w:p>
    <w:p w14:paraId="11EAE331" w14:textId="77777777" w:rsidR="00C56DE9" w:rsidRDefault="00000000">
      <w:pPr>
        <w:pStyle w:val="Heading3"/>
        <w:spacing w:before="155" w:after="65"/>
      </w:pPr>
      <w:r>
        <w:rPr>
          <w:b/>
          <w:bCs/>
          <w:color w:val="4A5A62"/>
          <w:sz w:val="21"/>
          <w:szCs w:val="21"/>
        </w:rPr>
        <w:t>Asplenia</w:t>
      </w:r>
    </w:p>
    <w:p w14:paraId="7B1A7A55" w14:textId="77777777" w:rsidR="00C56DE9" w:rsidRDefault="00000000">
      <w:pPr>
        <w:spacing w:after="100" w:line="254" w:lineRule="auto"/>
      </w:pPr>
      <w:r>
        <w:rPr>
          <w:color w:val="222222"/>
        </w:rPr>
        <w:t xml:space="preserve">Ceftriaxone + vancomycin. Encapsulated organisms, plus </w:t>
      </w:r>
      <w:proofErr w:type="spellStart"/>
      <w:r>
        <w:rPr>
          <w:i/>
          <w:iCs/>
          <w:color w:val="222222"/>
        </w:rPr>
        <w:t>Capnocytophaga</w:t>
      </w:r>
      <w:proofErr w:type="spellEnd"/>
      <w:r>
        <w:rPr>
          <w:color w:val="222222"/>
        </w:rPr>
        <w:t xml:space="preserve"> after dog bite.</w:t>
      </w:r>
    </w:p>
    <w:p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 xml:space="preserve">Protein binding and hypoalbuminemia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Ertapenem</w:t>
      </w:r>
      <w:r>
        <w:rPr>
          <w:color w:val="222222"/>
        </w:rPr>
        <w:t xml:space="preserve"> is ~95% protein bound — the most albumin-dependent antibiotic in common use. Low albumin raises the free fraction, which expands the volume of distribution and accelerates clearance, so the once-daily dose can fall below target for much of the interval. In the hypoalbuminemic critically ill, prefer meropenem.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Ceftriaxone</w:t>
      </w:r>
      <w:r>
        <w:rPr>
          <w:color w:val="222222"/>
        </w:rPr>
        <w:t xml:space="preserve"> (~85–95%) and </w:t>
      </w:r>
      <w:r>
        <w:rPr>
          <w:b/>
          <w:bCs/>
          <w:color w:val="222222"/>
        </w:rPr>
        <w:t xml:space="preserve">daptomycin</w:t>
      </w:r>
      <w:r>
        <w:rPr>
          <w:color w:val="222222"/>
        </w:rPr>
        <w:t xml:space="preserve"> (~90%) shift the same way, and both are also once-daily — the same trap.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Only free drug is active. A reassuring total level can sit on top of an inadequate free level; the assay usually reports total.</w:t>
      </w:r>
    </w:p>
    <w:p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 xml:space="preserve">Time- versus concentration-dependent killing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β-lactams kill by time above MIC.</w:t>
      </w:r>
      <w:r>
        <w:rPr>
          <w:color w:val="222222"/>
        </w:rPr>
        <w:t xml:space="preserve"> In sepsis or with high-MIC organisms, extended (3–4 h) or continuous infusion of pip-tazo, cefepime, or meropenem improves target attainment. Always give a conventional bolus first — an infusion alone takes hours to reach concentration.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Aminoglycosides and fluoroquinolones are concentration-dependent</w:t>
      </w:r>
      <w:r>
        <w:rPr>
          <w:color w:val="222222"/>
        </w:rPr>
        <w:t xml:space="preserve"> (Cmax/MIC, AUC/MIC). Once-daily aminoglycoside dosing exploits that plus the post-antibiotic effect, and is less nephrotoxic than divided dosing.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Vancomycin is AUC-driven</w:t>
      </w:r>
      <w:r>
        <w:rPr>
          <w:color w:val="222222"/>
        </w:rPr>
        <w:t xml:space="preserve"> — target AUC24/MIC ≥400. AUC-guided dosing replaced trough-only monitoring in the 2020 consensus guideline; troughs of 15–20 overshoot and drive nephrotoxicity.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Loading doses are set by volume of distribution, not clearance.</w:t>
      </w:r>
      <w:r>
        <w:rPr>
          <w:color w:val="222222"/>
        </w:rPr>
        <w:t xml:space="preserve"> Sepsis expands the Vd of hydrophilic drugs, so load vancomycin at 20–25 mg/kg and do </w:t>
      </w:r>
      <w:r>
        <w:rPr>
          <w:i/>
          <w:iCs/>
          <w:color w:val="222222"/>
        </w:rPr>
        <w:t xml:space="preserve">not</w:t>
      </w:r>
      <w:r>
        <w:rPr>
          <w:color w:val="222222"/>
        </w:rPr>
        <w:t xml:space="preserve"> reduce a loading dose for renal failure — reduce the maintenance dose.</w:t>
      </w:r>
    </w:p>
    <w:p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 xml:space="preserve">Penetration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Lung:</w:t>
      </w:r>
      <w:r>
        <w:rPr>
          <w:color w:val="222222"/>
        </w:rPr>
        <w:t xml:space="preserve"> linezolid reaches high epithelial lining fluid concentrations; vancomycin penetrates poorly, which is part of why it underperforms in MRSA pneumonia. Aminoglycosides penetrate poorly and are inactivated at the acidic pH of purulent airways — never monotherapy for pneumonia.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CNS:</w:t>
      </w:r>
      <w:r>
        <w:rPr>
          <w:color w:val="222222"/>
        </w:rPr>
        <w:t xml:space="preserve"> ceftriaxone, cefepime, meropenem, linezolid, metronidazole, and TMP-SMX cross usefully. Cefazolin, ertapenem, daptomycin, and the aminoglycosides do not.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Urine:</w:t>
      </w:r>
      <w:r>
        <w:rPr>
          <w:color w:val="222222"/>
        </w:rPr>
        <w:t xml:space="preserve"> nitrofurantoin and fosfomycin concentrate in bladder urine and reach nothing else — cystitis only, never pyelonephritis, prostatitis, or bacteremia. Nitrofurantoin stops achieving urinary concentrations as CrCl falls below ~30–45.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Moxifloxacin</w:t>
      </w:r>
      <w:r>
        <w:rPr>
          <w:color w:val="222222"/>
        </w:rPr>
        <w:t xml:space="preserve"> is the fluoroquinolone that does </w:t>
      </w:r>
      <w:r>
        <w:rPr>
          <w:i/>
          <w:iCs/>
          <w:color w:val="222222"/>
        </w:rPr>
        <w:t xml:space="preserve">not</w:t>
      </w:r>
      <w:r>
        <w:rPr>
          <w:color w:val="222222"/>
        </w:rPr>
        <w:t xml:space="preserve"> concentrate in urine — do not use it for UTI.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Abscess:</w:t>
      </w:r>
      <w:r>
        <w:rPr>
          <w:color w:val="222222"/>
        </w:rPr>
        <w:t xml:space="preserve"> aminoglycosides are inactive in acidic, hypoxic, high-inoculum collections. Drainage is the intervention; the antibiotic is adjunctive.</w:t>
      </w:r>
    </w:p>
    <w:p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 xml:space="preserve">Oral bioavailability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Essentially complete oral absorption: </w:t>
      </w:r>
      <w:r>
        <w:rPr>
          <w:b/>
          <w:bCs/>
          <w:color w:val="222222"/>
        </w:rPr>
        <w:t xml:space="preserve">linezolid, fluoroquinolones, metronidazole, TMP-SMX, doxycycline, fluconazole</w:t>
      </w:r>
      <w:r>
        <w:rPr>
          <w:color w:val="222222"/>
        </w:rPr>
        <w:t xml:space="preserve">, and clindamycin (~90%). With a working gut, IV buys nothing but a line.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Oral vancomycin is not absorbed</w:t>
      </w:r>
      <w:r>
        <w:rPr>
          <w:color w:val="222222"/>
        </w:rPr>
        <w:t xml:space="preserve"> — it treats C. difficile and nothing else. The converse also holds: IV vancomycin does not treat C. difficile.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color w:val="222222"/>
        </w:rPr>
        <w:t xml:space="preserve">Most β-lactams have poor or erratic oral bioavailability — the main reason serious β-lactam-susceptible infections stay parenteral.</w:t>
      </w:r>
    </w:p>
    <w:p>
      <w:pPr>
        <w:pStyle w:val="Heading2"/>
        <w:spacing w:before="240" w:after="90"/>
      </w:pPr>
      <w:r>
        <w:rPr>
          <w:b/>
          <w:bCs/>
          <w:color w:val="1A3A4A"/>
          <w:sz w:val="24"/>
          <w:szCs w:val="24"/>
        </w:rPr>
        <w:t xml:space="preserve">Dose adjustment and toxicity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Cefepime</w:t>
      </w:r>
      <w:r>
        <w:rPr>
          <w:color w:val="222222"/>
        </w:rPr>
        <w:t xml:space="preserve"> accumulates in renal impairment and causes neurotoxicity — encephalopathy, myoclonus, non-convulsive status. It is frequently missed because the patient is already delirious.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Linezolid</w:t>
      </w:r>
      <w:r>
        <w:rPr>
          <w:color w:val="222222"/>
        </w:rPr>
        <w:t xml:space="preserve"> needs no renal adjustment, but is bacteriostatic and generally second-line for bacteremia. It causes myelosuppression after roughly two weeks, and is a weak MAO inhibitor — serotonin syndrome with SSRIs.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Ceftriaxone</w:t>
      </w:r>
      <w:r>
        <w:rPr>
          <w:color w:val="222222"/>
        </w:rPr>
        <w:t xml:space="preserve"> is largely biliary and needs no renal adjustment; it causes biliary sludging and pseudolithiasis.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TMP-SMX</w:t>
      </w:r>
      <w:r>
        <w:rPr>
          <w:color w:val="222222"/>
        </w:rPr>
        <w:t xml:space="preserve"> blocks tubular creatinine secretion, so creatinine rises without any fall in GFR. It also causes real hyperkalemia — that part is not an artifact.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Fluoroquinolones</w:t>
      </w:r>
      <w:r>
        <w:rPr>
          <w:color w:val="222222"/>
        </w:rPr>
        <w:t xml:space="preserve"> chelate calcium, iron, magnesium, and tube feeds — separate dosing or the drug is not absorbed.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Rifampin</w:t>
      </w:r>
      <w:r>
        <w:rPr>
          <w:color w:val="222222"/>
        </w:rPr>
        <w:t xml:space="preserve"> is a potent CYP450 inducer and will lower levels of most things the patient is already taking.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Daptomycin</w:t>
      </w:r>
      <w:r>
        <w:rPr>
          <w:color w:val="222222"/>
        </w:rPr>
        <w:t xml:space="preserve"> is inactivated by pulmonary surfactant — never for pneumonia, whatever the susceptibilities say.</w:t>
      </w:r>
    </w:p>
    <w:p>
      <w:pPr>
        <w:pStyle w:val="ListParagraph"/>
        <w:numPr>
          <w:ilvl w:val="0"/>
          <w:numId w:val="2"/>
        </w:numPr>
        <w:spacing w:after="40" w:line="254" w:lineRule="auto"/>
      </w:pPr>
      <w:r>
        <w:rPr>
          <w:b/>
          <w:bCs/>
          <w:color w:val="222222"/>
        </w:rPr>
        <w:t xml:space="preserve">Penicillin allergy:</w:t>
      </w:r>
      <w:r>
        <w:rPr>
          <w:color w:val="222222"/>
        </w:rPr>
        <w:t xml:space="preserve"> most reported penicillin allergies are not real, and cephalosporins are safe with a non-severe history — cross-reactivity tracks R1 side chains, and cefazolin shares its side chain with nothing. Aztreonam for true anaphylaxis, though it shares a side chain with ceftazidime.</w:t>
      </w:r>
    </w:p>
    <w:p w14:paraId="4A65097E" w14:textId="77777777" w:rsidR="00C56DE9" w:rsidRDefault="00000000">
      <w:pPr>
        <w:pBdr>
          <w:top w:val="single" w:sz="6" w:space="8" w:color="246A7A"/>
        </w:pBdr>
        <w:spacing w:before="110"/>
      </w:pPr>
      <w:r>
        <w:rPr>
          <w:i/>
          <w:iCs/>
          <w:color w:val="4A5A62"/>
          <w:sz w:val="19"/>
          <w:szCs w:val="19"/>
        </w:rPr>
        <w:t xml:space="preserve">Local antibiogram overrides </w:t>
      </w:r>
      <w:proofErr w:type="gramStart"/>
      <w:r>
        <w:rPr>
          <w:i/>
          <w:iCs/>
          <w:color w:val="4A5A62"/>
          <w:sz w:val="19"/>
          <w:szCs w:val="19"/>
        </w:rPr>
        <w:t>all of</w:t>
      </w:r>
      <w:proofErr w:type="gramEnd"/>
      <w:r>
        <w:rPr>
          <w:i/>
          <w:iCs/>
          <w:color w:val="4A5A62"/>
          <w:sz w:val="19"/>
          <w:szCs w:val="19"/>
        </w:rPr>
        <w:t xml:space="preserve"> the above.</w:t>
      </w:r>
    </w:p>
    <w:sectPr w:rsidR="00C56DE9">
      <w:pgSz w:w="12240" w:h="15840"/>
      <w:pgMar w:top="1224" w:right="1440" w:bottom="93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362D7"/>
    <w:multiLevelType w:val="hybridMultilevel"/>
    <w:tmpl w:val="5AB07C6C"/>
    <w:lvl w:ilvl="0" w:tplc="9808D63A">
      <w:start w:val="1"/>
      <w:numFmt w:val="bullet"/>
      <w:lvlText w:val="●"/>
      <w:lvlJc w:val="left"/>
      <w:pPr>
        <w:ind w:left="720" w:hanging="360"/>
      </w:pPr>
    </w:lvl>
    <w:lvl w:ilvl="1" w:tplc="ECF61D8C">
      <w:start w:val="1"/>
      <w:numFmt w:val="bullet"/>
      <w:lvlText w:val="○"/>
      <w:lvlJc w:val="left"/>
      <w:pPr>
        <w:ind w:left="1440" w:hanging="360"/>
      </w:pPr>
    </w:lvl>
    <w:lvl w:ilvl="2" w:tplc="F820A8FC">
      <w:start w:val="1"/>
      <w:numFmt w:val="bullet"/>
      <w:lvlText w:val="■"/>
      <w:lvlJc w:val="left"/>
      <w:pPr>
        <w:ind w:left="2160" w:hanging="360"/>
      </w:pPr>
    </w:lvl>
    <w:lvl w:ilvl="3" w:tplc="6CB26BC2">
      <w:start w:val="1"/>
      <w:numFmt w:val="bullet"/>
      <w:lvlText w:val="●"/>
      <w:lvlJc w:val="left"/>
      <w:pPr>
        <w:ind w:left="2880" w:hanging="360"/>
      </w:pPr>
    </w:lvl>
    <w:lvl w:ilvl="4" w:tplc="646AA130">
      <w:start w:val="1"/>
      <w:numFmt w:val="bullet"/>
      <w:lvlText w:val="○"/>
      <w:lvlJc w:val="left"/>
      <w:pPr>
        <w:ind w:left="3600" w:hanging="360"/>
      </w:pPr>
    </w:lvl>
    <w:lvl w:ilvl="5" w:tplc="4C7243B8">
      <w:start w:val="1"/>
      <w:numFmt w:val="bullet"/>
      <w:lvlText w:val="■"/>
      <w:lvlJc w:val="left"/>
      <w:pPr>
        <w:ind w:left="4320" w:hanging="360"/>
      </w:pPr>
    </w:lvl>
    <w:lvl w:ilvl="6" w:tplc="5D642DFA">
      <w:start w:val="1"/>
      <w:numFmt w:val="bullet"/>
      <w:lvlText w:val="●"/>
      <w:lvlJc w:val="left"/>
      <w:pPr>
        <w:ind w:left="5040" w:hanging="360"/>
      </w:pPr>
    </w:lvl>
    <w:lvl w:ilvl="7" w:tplc="1AD6D2FA">
      <w:start w:val="1"/>
      <w:numFmt w:val="bullet"/>
      <w:lvlText w:val="●"/>
      <w:lvlJc w:val="left"/>
      <w:pPr>
        <w:ind w:left="5760" w:hanging="360"/>
      </w:pPr>
    </w:lvl>
    <w:lvl w:ilvl="8" w:tplc="4816C7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AA5641"/>
    <w:multiLevelType w:val="hybridMultilevel"/>
    <w:tmpl w:val="8D5EF5F0"/>
    <w:lvl w:ilvl="0" w:tplc="C160364A">
      <w:start w:val="1"/>
      <w:numFmt w:val="bullet"/>
      <w:lvlText w:val="•"/>
      <w:lvlJc w:val="left"/>
      <w:pPr>
        <w:ind w:left="360" w:hanging="200"/>
      </w:pPr>
    </w:lvl>
    <w:lvl w:ilvl="1" w:tplc="1DD6F508">
      <w:numFmt w:val="decimal"/>
      <w:lvlText w:val=""/>
      <w:lvlJc w:val="left"/>
    </w:lvl>
    <w:lvl w:ilvl="2" w:tplc="EA22BD68">
      <w:numFmt w:val="decimal"/>
      <w:lvlText w:val=""/>
      <w:lvlJc w:val="left"/>
    </w:lvl>
    <w:lvl w:ilvl="3" w:tplc="BECE8BAA">
      <w:numFmt w:val="decimal"/>
      <w:lvlText w:val=""/>
      <w:lvlJc w:val="left"/>
    </w:lvl>
    <w:lvl w:ilvl="4" w:tplc="9ECECE06">
      <w:numFmt w:val="decimal"/>
      <w:lvlText w:val=""/>
      <w:lvlJc w:val="left"/>
    </w:lvl>
    <w:lvl w:ilvl="5" w:tplc="620AB0AA">
      <w:numFmt w:val="decimal"/>
      <w:lvlText w:val=""/>
      <w:lvlJc w:val="left"/>
    </w:lvl>
    <w:lvl w:ilvl="6" w:tplc="0512F606">
      <w:numFmt w:val="decimal"/>
      <w:lvlText w:val=""/>
      <w:lvlJc w:val="left"/>
    </w:lvl>
    <w:lvl w:ilvl="7" w:tplc="C5DAD78E">
      <w:numFmt w:val="decimal"/>
      <w:lvlText w:val=""/>
      <w:lvlJc w:val="left"/>
    </w:lvl>
    <w:lvl w:ilvl="8" w:tplc="1522FDE0">
      <w:numFmt w:val="decimal"/>
      <w:lvlText w:val=""/>
      <w:lvlJc w:val="left"/>
    </w:lvl>
  </w:abstractNum>
  <w:num w:numId="1" w16cid:durableId="2038313440">
    <w:abstractNumId w:val="0"/>
    <w:lvlOverride w:ilvl="0">
      <w:startOverride w:val="1"/>
    </w:lvlOverride>
  </w:num>
  <w:num w:numId="2" w16cid:durableId="5431740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DE9"/>
    <w:rsid w:val="003C4952"/>
    <w:rsid w:val="009708F5"/>
    <w:rsid w:val="00C56DE9"/>
    <w:rsid w:val="00D5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EE0CF"/>
  <w15:docId w15:val="{C30808DF-5205-7942-9883-B905FAF1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Bahl</cp:lastModifiedBy>
  <cp:revision>2</cp:revision>
  <dcterms:created xsi:type="dcterms:W3CDTF">2026-08-05T20:53:00Z</dcterms:created>
  <dcterms:modified xsi:type="dcterms:W3CDTF">2026-08-05T20:53:00Z</dcterms:modified>
</cp:coreProperties>
</file>