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8539C4" w14:textId="77777777" w:rsidR="00C56DE9" w:rsidRDefault="00000000">
      <w:pPr>
        <w:spacing w:after="40"/>
      </w:pPr>
      <w:r>
        <w:rPr>
          <w:b/>
          <w:bCs/>
          <w:color w:val="1A3A4A"/>
          <w:sz w:val="40"/>
          <w:szCs w:val="40"/>
        </w:rPr>
        <w:t>Empiric Antibiotics on Admission</w:t>
      </w:r>
    </w:p>
    <w:p w14:paraId="0205E55B" w14:textId="77777777" w:rsidR="00C56DE9" w:rsidRDefault="00000000">
      <w:pPr>
        <w:pBdr>
          <w:bottom w:val="single" w:sz="12" w:space="8" w:color="246A7A"/>
        </w:pBdr>
        <w:spacing w:after="200"/>
      </w:pPr>
      <w:r>
        <w:rPr>
          <w:i/>
          <w:iCs/>
          <w:color w:val="4A5A62"/>
          <w:sz w:val="22"/>
          <w:szCs w:val="22"/>
        </w:rPr>
        <w:t>Escalation triggers first, then syndromes</w:t>
      </w:r>
    </w:p>
    <w:p w14:paraId="373C7CAC" w14:textId="77777777" w:rsidR="00C56DE9" w:rsidRDefault="00000000">
      <w:pPr>
        <w:pStyle w:val="Heading1"/>
        <w:pBdr>
          <w:bottom w:val="single" w:sz="8" w:space="6" w:color="246A7A"/>
        </w:pBdr>
        <w:spacing w:before="260" w:after="120"/>
      </w:pPr>
      <w:r>
        <w:rPr>
          <w:b/>
          <w:bCs/>
          <w:color w:val="246A7A"/>
          <w:sz w:val="30"/>
          <w:szCs w:val="30"/>
        </w:rPr>
        <w:t>PART 1 — WHEN TO BROADEN</w:t>
      </w:r>
    </w:p>
    <w:p w14:paraId="26879733" w14:textId="77777777" w:rsidR="00C56DE9" w:rsidRDefault="00000000">
      <w:pPr>
        <w:spacing w:after="100" w:line="254" w:lineRule="auto"/>
      </w:pPr>
      <w:r>
        <w:rPr>
          <w:color w:val="222222"/>
        </w:rPr>
        <w:t>The syndrome sets the base regimen. These decide what gets added.</w:t>
      </w:r>
    </w:p>
    <w:p w14:paraId="3AC0394C" w14:textId="77777777" w:rsidR="00C56DE9" w:rsidRDefault="00000000">
      <w:pPr>
        <w:pStyle w:val="Heading2"/>
        <w:spacing w:before="240" w:after="90"/>
      </w:pPr>
      <w:r>
        <w:rPr>
          <w:b/>
          <w:bCs/>
          <w:color w:val="1A3A4A"/>
          <w:sz w:val="24"/>
          <w:szCs w:val="24"/>
        </w:rPr>
        <w:t>MRSA → add vancomycin or linezolid</w:t>
      </w:r>
    </w:p>
    <w:tbl>
      <w:tblPr>
        <w:tblW w:w="9360" w:type="dxa"/>
        <w:tblBorders>
          <w:top w:val="single" w:sz="4" w:space="0" w:color="C6D4D9"/>
          <w:left w:val="single" w:sz="4" w:space="0" w:color="C6D4D9"/>
          <w:bottom w:val="single" w:sz="4" w:space="0" w:color="C6D4D9"/>
          <w:right w:val="single" w:sz="4" w:space="0" w:color="C6D4D9"/>
          <w:insideH w:val="single" w:sz="2" w:space="0" w:color="DCE6E9"/>
          <w:insideV w:val="single" w:sz="2" w:space="0" w:color="DCE6E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56DE9" w14:paraId="4EA453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246A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2F42B" w14:textId="77777777" w:rsidR="00C56DE9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Strong</w:t>
            </w:r>
          </w:p>
        </w:tc>
        <w:tc>
          <w:tcPr>
            <w:tcW w:w="4680" w:type="dxa"/>
            <w:shd w:val="clear" w:color="auto" w:fill="246A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E147A" w14:textId="77777777" w:rsidR="00C56DE9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Supportive</w:t>
            </w:r>
          </w:p>
        </w:tc>
      </w:tr>
      <w:tr w:rsidR="00C56DE9" w14:paraId="43A9308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2CE462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 xml:space="preserve">Known MRSA within 1 </w:t>
            </w:r>
            <w:proofErr w:type="spellStart"/>
            <w:r>
              <w:rPr>
                <w:color w:val="222222"/>
                <w:sz w:val="19"/>
                <w:szCs w:val="19"/>
              </w:rPr>
              <w:t>yr</w:t>
            </w:r>
            <w:proofErr w:type="spellEnd"/>
          </w:p>
        </w:tc>
        <w:tc>
          <w:tcPr>
            <w:tcW w:w="46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246F7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Recent IV antibiotics (90d)</w:t>
            </w:r>
          </w:p>
        </w:tc>
      </w:tr>
      <w:tr w:rsidR="00C56DE9" w14:paraId="69B1248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74066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Necrotizing/cavitary pneumonia, empyema</w:t>
            </w:r>
          </w:p>
        </w:tc>
        <w:tc>
          <w:tcPr>
            <w:tcW w:w="468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2E70FB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Recent hospitalization (90d)</w:t>
            </w:r>
          </w:p>
        </w:tc>
      </w:tr>
      <w:tr w:rsidR="00C56DE9" w14:paraId="523B580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D4071E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Post-influenza pneumonia</w:t>
            </w:r>
          </w:p>
        </w:tc>
        <w:tc>
          <w:tcPr>
            <w:tcW w:w="46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21F832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SNF / LTAC</w:t>
            </w:r>
          </w:p>
        </w:tc>
      </w:tr>
      <w:tr w:rsidR="00C56DE9" w14:paraId="1E45F2B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ACD16B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Purulent or necrotizing SSTI</w:t>
            </w:r>
          </w:p>
        </w:tc>
        <w:tc>
          <w:tcPr>
            <w:tcW w:w="468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EADDA7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Injection drug use</w:t>
            </w:r>
          </w:p>
        </w:tc>
      </w:tr>
      <w:tr w:rsidR="00C56DE9" w14:paraId="213696E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DF06F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Hemodialysis, hardware/prosthetics</w:t>
            </w:r>
          </w:p>
        </w:tc>
        <w:tc>
          <w:tcPr>
            <w:tcW w:w="468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DBFE0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Incarceration, contact sports</w:t>
            </w:r>
          </w:p>
        </w:tc>
      </w:tr>
      <w:tr w:rsidR="00C56DE9" w14:paraId="56B0050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488518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Septic shock with plausible staph source</w:t>
            </w:r>
          </w:p>
        </w:tc>
        <w:tc>
          <w:tcPr>
            <w:tcW w:w="468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6CDBF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High local prevalence</w:t>
            </w:r>
          </w:p>
        </w:tc>
      </w:tr>
    </w:tbl>
    <w:p w14:paraId="39BDEC48" w14:textId="77777777" w:rsidR="00C56DE9" w:rsidRDefault="00C56DE9">
      <w:pPr>
        <w:spacing w:after="120"/>
      </w:pPr>
    </w:p>
    <w:p w14:paraId="461E60F8" w14:textId="77777777" w:rsidR="00C56DE9" w:rsidRDefault="00000000">
      <w:pPr>
        <w:pStyle w:val="Heading2"/>
        <w:spacing w:before="240" w:after="90"/>
      </w:pPr>
      <w:r>
        <w:rPr>
          <w:b/>
          <w:bCs/>
          <w:color w:val="1A3A4A"/>
          <w:sz w:val="24"/>
          <w:szCs w:val="24"/>
        </w:rPr>
        <w:t>Pseudomonas → antipseudomonal β-lactam</w:t>
      </w:r>
    </w:p>
    <w:p w14:paraId="167AE9A1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 xml:space="preserve">Prior </w:t>
      </w:r>
      <w:r>
        <w:rPr>
          <w:i/>
          <w:iCs/>
          <w:color w:val="222222"/>
        </w:rPr>
        <w:t>Pseudomonas</w:t>
      </w:r>
      <w:r>
        <w:rPr>
          <w:color w:val="222222"/>
        </w:rPr>
        <w:t xml:space="preserve"> isolate, any site, within 1 </w:t>
      </w:r>
      <w:proofErr w:type="spellStart"/>
      <w:r>
        <w:rPr>
          <w:color w:val="222222"/>
        </w:rPr>
        <w:t>yr</w:t>
      </w:r>
      <w:proofErr w:type="spellEnd"/>
    </w:p>
    <w:p w14:paraId="04618FAC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Structural lung disease: bronchiectasis, CF, severe COPD on chronic steroids</w:t>
      </w:r>
    </w:p>
    <w:p w14:paraId="2DD16638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Hospitalization ≥5 days, ICU stay, mechanical ventilation</w:t>
      </w:r>
    </w:p>
    <w:p w14:paraId="554B36AD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Neutropenia, transplant, significant immunosuppression</w:t>
      </w:r>
    </w:p>
    <w:p w14:paraId="417D7DDD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Recent broad-spectrum IV antibiotics (90d)</w:t>
      </w:r>
    </w:p>
    <w:p w14:paraId="06525A29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Devices: trach, chronic urinary catheter, PEG, chronic wounds, burns</w:t>
      </w:r>
    </w:p>
    <w:p w14:paraId="20598654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Classic niches: malignant otitis externa, hot-tub folliculitis, sneaker puncture osteo, ecthyma gangrenosum</w:t>
      </w:r>
    </w:p>
    <w:p w14:paraId="2582F72B" w14:textId="77777777" w:rsidR="00C56DE9" w:rsidRDefault="00000000">
      <w:pPr>
        <w:spacing w:before="100" w:after="100" w:line="254" w:lineRule="auto"/>
      </w:pPr>
      <w:r>
        <w:rPr>
          <w:b/>
          <w:bCs/>
          <w:color w:val="222222"/>
        </w:rPr>
        <w:t>Active:</w:t>
      </w:r>
      <w:r>
        <w:rPr>
          <w:color w:val="222222"/>
        </w:rPr>
        <w:t xml:space="preserve"> cefepime, ceftazidime,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 xml:space="preserve">, meropenem, imipenem, aztreonam, cipro/levofloxacin, </w:t>
      </w:r>
      <w:proofErr w:type="spellStart"/>
      <w:r>
        <w:rPr>
          <w:color w:val="222222"/>
        </w:rPr>
        <w:t>ceftolozane-tazo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ceftaz</w:t>
      </w:r>
      <w:proofErr w:type="spellEnd"/>
      <w:r>
        <w:rPr>
          <w:color w:val="222222"/>
        </w:rPr>
        <w:t>-avibactam.</w:t>
      </w:r>
    </w:p>
    <w:p w14:paraId="2C50FE5F" w14:textId="77777777" w:rsidR="00C56DE9" w:rsidRDefault="00000000">
      <w:pPr>
        <w:spacing w:after="100" w:line="254" w:lineRule="auto"/>
      </w:pPr>
      <w:r>
        <w:rPr>
          <w:b/>
          <w:bCs/>
          <w:color w:val="222222"/>
        </w:rPr>
        <w:t>Not active:</w:t>
      </w:r>
      <w:r>
        <w:rPr>
          <w:color w:val="222222"/>
        </w:rPr>
        <w:t xml:space="preserve"> ceftriaxone, cefotaxime, </w:t>
      </w:r>
      <w:r>
        <w:rPr>
          <w:b/>
          <w:bCs/>
          <w:color w:val="222222"/>
        </w:rPr>
        <w:t>ertapenem</w:t>
      </w:r>
      <w:r>
        <w:rPr>
          <w:color w:val="222222"/>
        </w:rPr>
        <w:t xml:space="preserve">, amp-sulbactam, </w:t>
      </w:r>
      <w:proofErr w:type="spellStart"/>
      <w:r>
        <w:rPr>
          <w:color w:val="222222"/>
        </w:rPr>
        <w:t>amox-clav</w:t>
      </w:r>
      <w:proofErr w:type="spellEnd"/>
      <w:r>
        <w:rPr>
          <w:color w:val="222222"/>
        </w:rPr>
        <w:t>, cefazolin, cefoxitin, moxifloxacin.</w:t>
      </w:r>
    </w:p>
    <w:p w14:paraId="3A3B3C82" w14:textId="77777777" w:rsidR="00C56DE9" w:rsidRDefault="00000000">
      <w:pPr>
        <w:spacing w:after="100" w:line="254" w:lineRule="auto"/>
      </w:pPr>
      <w:r>
        <w:rPr>
          <w:color w:val="222222"/>
        </w:rPr>
        <w:t>Double gram-negative coverage is rarely justified — reserve for septic shock plus documented MDR risk, or unit resistance &gt;10–15% to your chosen agent.</w:t>
      </w:r>
    </w:p>
    <w:p w14:paraId="0D8D1156" w14:textId="77777777" w:rsidR="00C56DE9" w:rsidRDefault="00000000">
      <w:pPr>
        <w:pStyle w:val="Heading2"/>
        <w:spacing w:before="240" w:after="90"/>
      </w:pPr>
      <w:r>
        <w:rPr>
          <w:b/>
          <w:bCs/>
          <w:color w:val="1A3A4A"/>
          <w:sz w:val="24"/>
          <w:szCs w:val="24"/>
        </w:rPr>
        <w:t>VRE → daptomycin or linezolid</w:t>
      </w:r>
    </w:p>
    <w:p w14:paraId="77DEB601" w14:textId="77777777" w:rsidR="00C56DE9" w:rsidRDefault="00000000">
      <w:pPr>
        <w:spacing w:after="100" w:line="254" w:lineRule="auto"/>
      </w:pPr>
      <w:r>
        <w:rPr>
          <w:color w:val="222222"/>
        </w:rPr>
        <w:t>The most over-covered organism on this list. Empiric coverage is almost never indicated in a general medical admission. Legitimate triggers:</w:t>
      </w:r>
    </w:p>
    <w:p w14:paraId="35F9332F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 xml:space="preserve">Known VRE colonization </w:t>
      </w:r>
      <w:r>
        <w:rPr>
          <w:b/>
          <w:bCs/>
          <w:color w:val="222222"/>
        </w:rPr>
        <w:t>plus</w:t>
      </w:r>
      <w:r>
        <w:rPr>
          <w:color w:val="222222"/>
        </w:rPr>
        <w:t xml:space="preserve"> a plausible enterococcal source</w:t>
      </w:r>
    </w:p>
    <w:p w14:paraId="342D5E6D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Liver transplant with hepatobiliary source</w:t>
      </w:r>
    </w:p>
    <w:p w14:paraId="4B8C58F5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Prolonged hospitalization with heavy vancomycin/cephalosporin exposure</w:t>
      </w:r>
    </w:p>
    <w:p w14:paraId="623D9547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Neutropenic fever, known colonization, hemodynamically unstable</w:t>
      </w:r>
    </w:p>
    <w:p w14:paraId="6F94C2AB" w14:textId="77777777" w:rsidR="00C56DE9" w:rsidRDefault="00000000">
      <w:pPr>
        <w:spacing w:before="100" w:after="100" w:line="254" w:lineRule="auto"/>
      </w:pPr>
      <w:r>
        <w:rPr>
          <w:b/>
          <w:bCs/>
          <w:color w:val="222222"/>
        </w:rPr>
        <w:t>Daptomycin is inactivated by surfactant — never for pneumonia.</w:t>
      </w:r>
      <w:r>
        <w:rPr>
          <w:color w:val="222222"/>
        </w:rPr>
        <w:t xml:space="preserve"> Linezolid is bacteriostatic and generally </w:t>
      </w:r>
      <w:proofErr w:type="gramStart"/>
      <w:r>
        <w:rPr>
          <w:color w:val="222222"/>
        </w:rPr>
        <w:t>second-line</w:t>
      </w:r>
      <w:proofErr w:type="gramEnd"/>
      <w:r>
        <w:rPr>
          <w:color w:val="222222"/>
        </w:rPr>
        <w:t xml:space="preserve"> for bacteremia; serotonin syndrome risk with SSRIs.</w:t>
      </w:r>
    </w:p>
    <w:p w14:paraId="38FD2052" w14:textId="77777777" w:rsidR="00C56DE9" w:rsidRDefault="00000000">
      <w:pPr>
        <w:spacing w:after="100" w:line="254" w:lineRule="auto"/>
      </w:pPr>
      <w:r>
        <w:rPr>
          <w:color w:val="222222"/>
        </w:rPr>
        <w:t xml:space="preserve">Related gap worth holding onto: </w:t>
      </w:r>
      <w:r>
        <w:rPr>
          <w:b/>
          <w:bCs/>
          <w:color w:val="222222"/>
        </w:rPr>
        <w:t>cephalosporins have no enterococcal activity at all.</w:t>
      </w:r>
      <w:r>
        <w:rPr>
          <w:color w:val="222222"/>
        </w:rPr>
        <w:t xml:space="preserve"> A patient on ceftriaxone with an enterococcal source is functionally untreated. Ampicillin covers susceptible </w:t>
      </w:r>
      <w:r>
        <w:rPr>
          <w:i/>
          <w:iCs/>
          <w:color w:val="222222"/>
        </w:rPr>
        <w:t>E. faecalis</w:t>
      </w:r>
      <w:r>
        <w:rPr>
          <w:color w:val="222222"/>
        </w:rPr>
        <w:t>;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 xml:space="preserve"> does too.</w:t>
      </w:r>
    </w:p>
    <w:p w14:paraId="61CDA98D" w14:textId="77777777" w:rsidR="00C56DE9" w:rsidRDefault="00000000">
      <w:pPr>
        <w:pStyle w:val="Heading2"/>
        <w:spacing w:before="240" w:after="90"/>
      </w:pPr>
      <w:r>
        <w:rPr>
          <w:b/>
          <w:bCs/>
          <w:color w:val="1A3A4A"/>
          <w:sz w:val="24"/>
          <w:szCs w:val="24"/>
        </w:rPr>
        <w:lastRenderedPageBreak/>
        <w:t>ESBL → carbapenem</w:t>
      </w:r>
    </w:p>
    <w:p w14:paraId="29EE762B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Prior ESBL isolate</w:t>
      </w:r>
    </w:p>
    <w:p w14:paraId="3C381155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Travel to high-prevalence regions (Indian subcontinent, SE Asia, Middle East, North Africa)</w:t>
      </w:r>
    </w:p>
    <w:p w14:paraId="4DFDCF2E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Recent β-lactam or fluoroquinolone exposure</w:t>
      </w:r>
    </w:p>
    <w:p w14:paraId="1D0207BB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Recurrent UTI, chronic catheter, urologic instrumentation</w:t>
      </w:r>
    </w:p>
    <w:p w14:paraId="71EF599C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LTAC residence</w:t>
      </w:r>
    </w:p>
    <w:p w14:paraId="064DBD39" w14:textId="77777777" w:rsidR="00C56DE9" w:rsidRDefault="00000000">
      <w:pPr>
        <w:spacing w:before="100" w:after="100" w:line="254" w:lineRule="auto"/>
      </w:pPr>
      <w:r>
        <w:rPr>
          <w:b/>
          <w:bCs/>
          <w:color w:val="222222"/>
        </w:rPr>
        <w:t>Do not use pip-</w:t>
      </w:r>
      <w:proofErr w:type="spellStart"/>
      <w:r>
        <w:rPr>
          <w:b/>
          <w:bCs/>
          <w:color w:val="222222"/>
        </w:rPr>
        <w:t>tazo</w:t>
      </w:r>
      <w:proofErr w:type="spellEnd"/>
      <w:r>
        <w:rPr>
          <w:b/>
          <w:bCs/>
          <w:color w:val="222222"/>
        </w:rPr>
        <w:t xml:space="preserve"> for ESBL bacteremia</w:t>
      </w:r>
      <w:r>
        <w:rPr>
          <w:color w:val="222222"/>
        </w:rPr>
        <w:t xml:space="preserve"> — MERINO showed higher mortality vs meropenem. Cefepime is unreliable (inoculum effect). Ertapenem if not critically ill and no Pseudomonas concern; meropenem otherwise.</w:t>
      </w:r>
    </w:p>
    <w:p w14:paraId="6F60D772" w14:textId="77777777" w:rsidR="00C56DE9" w:rsidRDefault="00000000">
      <w:pPr>
        <w:pStyle w:val="Heading2"/>
        <w:spacing w:before="240" w:after="90"/>
      </w:pPr>
      <w:r>
        <w:rPr>
          <w:b/>
          <w:bCs/>
          <w:color w:val="1A3A4A"/>
          <w:sz w:val="24"/>
          <w:szCs w:val="24"/>
        </w:rPr>
        <w:t>CRE / difficult-to-treat resistance</w:t>
      </w:r>
    </w:p>
    <w:tbl>
      <w:tblPr>
        <w:tblW w:w="9360" w:type="dxa"/>
        <w:tblBorders>
          <w:top w:val="single" w:sz="4" w:space="0" w:color="C6D4D9"/>
          <w:left w:val="single" w:sz="4" w:space="0" w:color="C6D4D9"/>
          <w:bottom w:val="single" w:sz="4" w:space="0" w:color="C6D4D9"/>
          <w:right w:val="single" w:sz="4" w:space="0" w:color="C6D4D9"/>
          <w:insideH w:val="single" w:sz="2" w:space="0" w:color="DCE6E9"/>
          <w:insideV w:val="single" w:sz="2" w:space="0" w:color="DCE6E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C56DE9" w14:paraId="42D1AD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246A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3622E7" w14:textId="77777777" w:rsidR="00C56DE9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Mechanism</w:t>
            </w:r>
          </w:p>
        </w:tc>
        <w:tc>
          <w:tcPr>
            <w:tcW w:w="6160" w:type="dxa"/>
            <w:shd w:val="clear" w:color="auto" w:fill="246A7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E5E6BD" w14:textId="77777777" w:rsidR="00C56DE9" w:rsidRDefault="00000000">
            <w:pPr>
              <w:spacing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Options</w:t>
            </w:r>
          </w:p>
        </w:tc>
      </w:tr>
      <w:tr w:rsidR="00C56DE9" w14:paraId="63D17B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72974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KPC</w:t>
            </w:r>
          </w:p>
        </w:tc>
        <w:tc>
          <w:tcPr>
            <w:tcW w:w="61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2E070E" w14:textId="77777777" w:rsidR="00C56DE9" w:rsidRDefault="00000000">
            <w:pPr>
              <w:spacing w:line="250" w:lineRule="auto"/>
            </w:pPr>
            <w:proofErr w:type="spellStart"/>
            <w:r>
              <w:rPr>
                <w:color w:val="222222"/>
                <w:sz w:val="19"/>
                <w:szCs w:val="19"/>
              </w:rPr>
              <w:t>ceftaz</w:t>
            </w:r>
            <w:proofErr w:type="spellEnd"/>
            <w:r>
              <w:rPr>
                <w:color w:val="222222"/>
                <w:sz w:val="19"/>
                <w:szCs w:val="19"/>
              </w:rPr>
              <w:t>-avibactam, mero-</w:t>
            </w:r>
            <w:proofErr w:type="spellStart"/>
            <w:r>
              <w:rPr>
                <w:color w:val="222222"/>
                <w:sz w:val="19"/>
                <w:szCs w:val="19"/>
              </w:rPr>
              <w:t>vaborbactam</w:t>
            </w:r>
            <w:proofErr w:type="spellEnd"/>
            <w:r>
              <w:rPr>
                <w:color w:val="222222"/>
                <w:sz w:val="19"/>
                <w:szCs w:val="19"/>
              </w:rPr>
              <w:t>, imipenem-</w:t>
            </w:r>
            <w:proofErr w:type="spellStart"/>
            <w:r>
              <w:rPr>
                <w:color w:val="222222"/>
                <w:sz w:val="19"/>
                <w:szCs w:val="19"/>
              </w:rPr>
              <w:t>relebactam</w:t>
            </w:r>
            <w:proofErr w:type="spellEnd"/>
          </w:p>
        </w:tc>
      </w:tr>
      <w:tr w:rsidR="00C56DE9" w14:paraId="5BD46C4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FAE3D" w14:textId="77777777" w:rsidR="00C56DE9" w:rsidRDefault="00000000">
            <w:pPr>
              <w:spacing w:line="250" w:lineRule="auto"/>
            </w:pPr>
            <w:proofErr w:type="spellStart"/>
            <w:r>
              <w:rPr>
                <w:color w:val="222222"/>
                <w:sz w:val="19"/>
                <w:szCs w:val="19"/>
              </w:rPr>
              <w:t>Metallo</w:t>
            </w:r>
            <w:proofErr w:type="spellEnd"/>
            <w:r>
              <w:rPr>
                <w:color w:val="222222"/>
                <w:sz w:val="19"/>
                <w:szCs w:val="19"/>
              </w:rPr>
              <w:t>-β-lactamase (NDM, VIM, IMP)</w:t>
            </w:r>
          </w:p>
        </w:tc>
        <w:tc>
          <w:tcPr>
            <w:tcW w:w="616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4C5E90" w14:textId="77777777" w:rsidR="00C56DE9" w:rsidRDefault="00000000">
            <w:pPr>
              <w:spacing w:line="250" w:lineRule="auto"/>
            </w:pPr>
            <w:proofErr w:type="spellStart"/>
            <w:r>
              <w:rPr>
                <w:color w:val="222222"/>
                <w:sz w:val="19"/>
                <w:szCs w:val="19"/>
              </w:rPr>
              <w:t>ceftaz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-avibactam </w:t>
            </w:r>
            <w:r>
              <w:rPr>
                <w:b/>
                <w:bCs/>
                <w:color w:val="222222"/>
                <w:sz w:val="19"/>
                <w:szCs w:val="19"/>
              </w:rPr>
              <w:t>+</w:t>
            </w:r>
            <w:r>
              <w:rPr>
                <w:color w:val="222222"/>
                <w:sz w:val="19"/>
                <w:szCs w:val="19"/>
              </w:rPr>
              <w:t xml:space="preserve"> aztreonam; </w:t>
            </w:r>
            <w:proofErr w:type="spellStart"/>
            <w:r>
              <w:rPr>
                <w:color w:val="222222"/>
                <w:sz w:val="19"/>
                <w:szCs w:val="19"/>
              </w:rPr>
              <w:t>cefiderocol</w:t>
            </w:r>
            <w:proofErr w:type="spellEnd"/>
            <w:r>
              <w:rPr>
                <w:color w:val="222222"/>
                <w:sz w:val="19"/>
                <w:szCs w:val="19"/>
              </w:rPr>
              <w:t>; aztreonam-avibactam</w:t>
            </w:r>
          </w:p>
        </w:tc>
      </w:tr>
      <w:tr w:rsidR="00C56DE9" w14:paraId="4AA0EC9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4B32A3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OXA-48</w:t>
            </w:r>
          </w:p>
        </w:tc>
        <w:tc>
          <w:tcPr>
            <w:tcW w:w="61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29CAB" w14:textId="77777777" w:rsidR="00C56DE9" w:rsidRDefault="00000000">
            <w:pPr>
              <w:spacing w:line="250" w:lineRule="auto"/>
            </w:pPr>
            <w:proofErr w:type="spellStart"/>
            <w:r>
              <w:rPr>
                <w:color w:val="222222"/>
                <w:sz w:val="19"/>
                <w:szCs w:val="19"/>
              </w:rPr>
              <w:t>ceftaz</w:t>
            </w:r>
            <w:proofErr w:type="spellEnd"/>
            <w:r>
              <w:rPr>
                <w:color w:val="222222"/>
                <w:sz w:val="19"/>
                <w:szCs w:val="19"/>
              </w:rPr>
              <w:t>-avibactam</w:t>
            </w:r>
          </w:p>
        </w:tc>
      </w:tr>
      <w:tr w:rsidR="00C56DE9" w14:paraId="27D7A66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0431C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>DTR-</w:t>
            </w:r>
            <w:r>
              <w:rPr>
                <w:i/>
                <w:iCs/>
                <w:color w:val="222222"/>
                <w:sz w:val="19"/>
                <w:szCs w:val="19"/>
              </w:rPr>
              <w:t>Pseudomonas</w:t>
            </w:r>
          </w:p>
        </w:tc>
        <w:tc>
          <w:tcPr>
            <w:tcW w:w="616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3B37C8" w14:textId="77777777" w:rsidR="00C56DE9" w:rsidRDefault="00000000">
            <w:pPr>
              <w:spacing w:line="250" w:lineRule="auto"/>
            </w:pPr>
            <w:proofErr w:type="spellStart"/>
            <w:r>
              <w:rPr>
                <w:color w:val="222222"/>
                <w:sz w:val="19"/>
                <w:szCs w:val="19"/>
              </w:rPr>
              <w:t>ceftolozane-tazo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  <w:szCs w:val="19"/>
              </w:rPr>
              <w:t>ceftaz</w:t>
            </w:r>
            <w:proofErr w:type="spellEnd"/>
            <w:r>
              <w:rPr>
                <w:color w:val="222222"/>
                <w:sz w:val="19"/>
                <w:szCs w:val="19"/>
              </w:rPr>
              <w:t>-avibactam, imipenem-</w:t>
            </w:r>
            <w:proofErr w:type="spellStart"/>
            <w:r>
              <w:rPr>
                <w:color w:val="222222"/>
                <w:sz w:val="19"/>
                <w:szCs w:val="19"/>
              </w:rPr>
              <w:t>relebactam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  <w:szCs w:val="19"/>
              </w:rPr>
              <w:t>cefiderocol</w:t>
            </w:r>
            <w:proofErr w:type="spellEnd"/>
          </w:p>
        </w:tc>
      </w:tr>
      <w:tr w:rsidR="00C56DE9" w14:paraId="5000ED3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16D652" w14:textId="77777777" w:rsidR="00C56DE9" w:rsidRDefault="00000000">
            <w:pPr>
              <w:spacing w:line="250" w:lineRule="auto"/>
            </w:pPr>
            <w:r>
              <w:rPr>
                <w:i/>
                <w:iCs/>
                <w:color w:val="222222"/>
                <w:sz w:val="19"/>
                <w:szCs w:val="19"/>
              </w:rPr>
              <w:t>Acinetobacter</w:t>
            </w:r>
          </w:p>
        </w:tc>
        <w:tc>
          <w:tcPr>
            <w:tcW w:w="61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28BDA9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 xml:space="preserve">high-dose amp-sulbactam, </w:t>
            </w:r>
            <w:proofErr w:type="spellStart"/>
            <w:r>
              <w:rPr>
                <w:color w:val="222222"/>
                <w:sz w:val="19"/>
                <w:szCs w:val="19"/>
              </w:rPr>
              <w:t>cefiderocol</w:t>
            </w:r>
            <w:proofErr w:type="spellEnd"/>
            <w:r>
              <w:rPr>
                <w:color w:val="222222"/>
                <w:sz w:val="19"/>
                <w:szCs w:val="19"/>
              </w:rPr>
              <w:t>, minocycline, polymyxin</w:t>
            </w:r>
          </w:p>
        </w:tc>
      </w:tr>
      <w:tr w:rsidR="00C56DE9" w14:paraId="6588790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A05C4" w14:textId="77777777" w:rsidR="00C56DE9" w:rsidRDefault="00000000">
            <w:pPr>
              <w:spacing w:line="250" w:lineRule="auto"/>
            </w:pPr>
            <w:r>
              <w:rPr>
                <w:i/>
                <w:iCs/>
                <w:color w:val="222222"/>
                <w:sz w:val="19"/>
                <w:szCs w:val="19"/>
              </w:rPr>
              <w:t xml:space="preserve">S. </w:t>
            </w:r>
            <w:proofErr w:type="spellStart"/>
            <w:r>
              <w:rPr>
                <w:i/>
                <w:iCs/>
                <w:color w:val="222222"/>
                <w:sz w:val="19"/>
                <w:szCs w:val="19"/>
              </w:rPr>
              <w:t>maltophilia</w:t>
            </w:r>
            <w:proofErr w:type="spellEnd"/>
          </w:p>
        </w:tc>
        <w:tc>
          <w:tcPr>
            <w:tcW w:w="6160" w:type="dxa"/>
            <w:shd w:val="clear" w:color="auto" w:fill="F2F6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DC0A6C" w14:textId="77777777" w:rsidR="00C56DE9" w:rsidRDefault="00000000">
            <w:pPr>
              <w:spacing w:line="250" w:lineRule="auto"/>
            </w:pPr>
            <w:r>
              <w:rPr>
                <w:color w:val="222222"/>
                <w:sz w:val="19"/>
                <w:szCs w:val="19"/>
              </w:rPr>
              <w:t xml:space="preserve">TMP-SMX, minocycline, levofloxacin, </w:t>
            </w:r>
            <w:proofErr w:type="spellStart"/>
            <w:r>
              <w:rPr>
                <w:color w:val="222222"/>
                <w:sz w:val="19"/>
                <w:szCs w:val="19"/>
              </w:rPr>
              <w:t>cefiderocol</w:t>
            </w:r>
            <w:proofErr w:type="spellEnd"/>
          </w:p>
        </w:tc>
      </w:tr>
    </w:tbl>
    <w:p w14:paraId="3F979FF7" w14:textId="77777777" w:rsidR="00C56DE9" w:rsidRDefault="00C56DE9">
      <w:pPr>
        <w:spacing w:after="120"/>
      </w:pPr>
    </w:p>
    <w:p w14:paraId="36E096D4" w14:textId="77777777" w:rsidR="00C56DE9" w:rsidRDefault="00000000">
      <w:pPr>
        <w:pStyle w:val="Heading2"/>
        <w:spacing w:before="240" w:after="90"/>
      </w:pPr>
      <w:r>
        <w:rPr>
          <w:b/>
          <w:bCs/>
          <w:color w:val="1A3A4A"/>
          <w:sz w:val="24"/>
          <w:szCs w:val="24"/>
        </w:rPr>
        <w:t>Anaerobes</w:t>
      </w:r>
    </w:p>
    <w:p w14:paraId="61072386" w14:textId="77777777" w:rsidR="00C56DE9" w:rsidRDefault="00000000">
      <w:pPr>
        <w:spacing w:after="100" w:line="254" w:lineRule="auto"/>
      </w:pPr>
      <w:r>
        <w:rPr>
          <w:b/>
          <w:bCs/>
          <w:color w:val="222222"/>
        </w:rPr>
        <w:t>Cover:</w:t>
      </w:r>
      <w:r>
        <w:rPr>
          <w:color w:val="222222"/>
        </w:rPr>
        <w:t xml:space="preserve"> perforation, diverticulitis, appendicitis, cholangitis, intra-abdominal abscess; lung abscess, necrotizing pneumonia, empyema; odontogenic and deep neck infection, Ludwig angina, </w:t>
      </w:r>
      <w:proofErr w:type="spellStart"/>
      <w:r>
        <w:rPr>
          <w:color w:val="222222"/>
        </w:rPr>
        <w:t>Lemierre</w:t>
      </w:r>
      <w:proofErr w:type="spellEnd"/>
      <w:r>
        <w:rPr>
          <w:color w:val="222222"/>
        </w:rPr>
        <w:t xml:space="preserve">; diabetic foot with necrosis or gangrene; necrotizing soft tissue infection; bites; PID, </w:t>
      </w:r>
      <w:proofErr w:type="spellStart"/>
      <w:r>
        <w:rPr>
          <w:color w:val="222222"/>
        </w:rPr>
        <w:t>tubo</w:t>
      </w:r>
      <w:proofErr w:type="spellEnd"/>
      <w:r>
        <w:rPr>
          <w:color w:val="222222"/>
        </w:rPr>
        <w:t>-ovarian abscess, septic abortion; brain abscess; any GU tract reconstructed with bowel.</w:t>
      </w:r>
    </w:p>
    <w:p w14:paraId="69EAA3B8" w14:textId="77777777" w:rsidR="00C56DE9" w:rsidRDefault="00000000">
      <w:pPr>
        <w:spacing w:after="100" w:line="254" w:lineRule="auto"/>
      </w:pPr>
      <w:r>
        <w:rPr>
          <w:b/>
          <w:bCs/>
          <w:color w:val="222222"/>
        </w:rPr>
        <w:t>Don't cover:</w:t>
      </w:r>
    </w:p>
    <w:p w14:paraId="6997B417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>Infected obstructing stone, pyelonephritis, urosepsis.</w:t>
      </w:r>
      <w:r>
        <w:rPr>
          <w:color w:val="222222"/>
        </w:rPr>
        <w:t xml:space="preserve"> The urinary tract is not an anaerobic environment. Even emphysematous pyelonephritis — which looks like it should be clostridial — is overwhelmingly </w:t>
      </w:r>
      <w:r>
        <w:rPr>
          <w:i/>
          <w:iCs/>
          <w:color w:val="222222"/>
        </w:rPr>
        <w:t>E. coli</w:t>
      </w:r>
      <w:r>
        <w:rPr>
          <w:color w:val="222222"/>
        </w:rPr>
        <w:t xml:space="preserve"> and </w:t>
      </w:r>
      <w:r>
        <w:rPr>
          <w:i/>
          <w:iCs/>
          <w:color w:val="222222"/>
        </w:rPr>
        <w:t>Klebsiella</w:t>
      </w:r>
      <w:r>
        <w:rPr>
          <w:color w:val="222222"/>
        </w:rPr>
        <w:t xml:space="preserve"> fermenting glucose in diabetic tissue. Metronidazole here adds </w:t>
      </w:r>
      <w:r>
        <w:rPr>
          <w:i/>
          <w:iCs/>
          <w:color w:val="222222"/>
        </w:rPr>
        <w:t>C. diff</w:t>
      </w:r>
      <w:r>
        <w:rPr>
          <w:color w:val="222222"/>
        </w:rPr>
        <w:t xml:space="preserve"> risk and nothing else. Exceptions: perinephric abscess with enteric fistula, urinary diversion through bowel.</w:t>
      </w:r>
    </w:p>
    <w:p w14:paraId="7BE4C5EC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>Aspiration pneumonia.</w:t>
      </w:r>
      <w:r>
        <w:rPr>
          <w:color w:val="222222"/>
        </w:rPr>
        <w:t xml:space="preserve"> IDSA 2019 dropped routine anaerobic coverage; this is a strep/GNR/staph disease. Cover only for demonstrated abscess, empyema, or necrotizing pneumonia.</w:t>
      </w:r>
    </w:p>
    <w:p w14:paraId="1289DA56" w14:textId="77777777" w:rsidR="00C56DE9" w:rsidRDefault="00000000">
      <w:pPr>
        <w:spacing w:before="100" w:after="100" w:line="254" w:lineRule="auto"/>
      </w:pPr>
      <w:r>
        <w:rPr>
          <w:b/>
          <w:bCs/>
          <w:color w:val="222222"/>
        </w:rPr>
        <w:t>Active:</w:t>
      </w:r>
      <w:r>
        <w:rPr>
          <w:color w:val="222222"/>
        </w:rPr>
        <w:t xml:space="preserve"> metronidazole,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 xml:space="preserve">, all carbapenems, amp-sulbactam, </w:t>
      </w:r>
      <w:proofErr w:type="spellStart"/>
      <w:r>
        <w:rPr>
          <w:color w:val="222222"/>
        </w:rPr>
        <w:t>amox-clav</w:t>
      </w:r>
      <w:proofErr w:type="spellEnd"/>
      <w:r>
        <w:rPr>
          <w:color w:val="222222"/>
        </w:rPr>
        <w:t>, cefoxitin/cefotetan, clindamycin, tigecycline/</w:t>
      </w:r>
      <w:proofErr w:type="spellStart"/>
      <w:r>
        <w:rPr>
          <w:color w:val="222222"/>
        </w:rPr>
        <w:t>eravacycline</w:t>
      </w:r>
      <w:proofErr w:type="spellEnd"/>
      <w:r>
        <w:rPr>
          <w:color w:val="222222"/>
        </w:rPr>
        <w:t>, moxifloxacin (partial).</w:t>
      </w:r>
    </w:p>
    <w:p w14:paraId="4D89C26C" w14:textId="77777777" w:rsidR="00C56DE9" w:rsidRDefault="00000000">
      <w:pPr>
        <w:spacing w:after="100" w:line="254" w:lineRule="auto"/>
      </w:pPr>
      <w:r>
        <w:rPr>
          <w:b/>
          <w:bCs/>
          <w:color w:val="222222"/>
        </w:rPr>
        <w:t>Not active:</w:t>
      </w:r>
      <w:r>
        <w:rPr>
          <w:color w:val="222222"/>
        </w:rPr>
        <w:t xml:space="preserve"> ceftriaxone, cefepime, ceftazidime, aztreonam, cefazolin, </w:t>
      </w:r>
      <w:proofErr w:type="spellStart"/>
      <w:r>
        <w:rPr>
          <w:color w:val="222222"/>
        </w:rPr>
        <w:t>levo</w:t>
      </w:r>
      <w:proofErr w:type="spellEnd"/>
      <w:r>
        <w:rPr>
          <w:color w:val="222222"/>
        </w:rPr>
        <w:t xml:space="preserve">/ciprofloxacin, aminoglycosides, </w:t>
      </w:r>
      <w:proofErr w:type="spellStart"/>
      <w:r>
        <w:rPr>
          <w:color w:val="222222"/>
        </w:rPr>
        <w:t>ceftaz</w:t>
      </w:r>
      <w:proofErr w:type="spellEnd"/>
      <w:r>
        <w:rPr>
          <w:color w:val="222222"/>
        </w:rPr>
        <w:t>-avibactam.</w:t>
      </w:r>
    </w:p>
    <w:p w14:paraId="38F49761" w14:textId="77777777" w:rsidR="00C56DE9" w:rsidRDefault="00000000">
      <w:pPr>
        <w:spacing w:after="100" w:line="254" w:lineRule="auto"/>
      </w:pPr>
      <w:r>
        <w:rPr>
          <w:i/>
          <w:iCs/>
          <w:color w:val="222222"/>
        </w:rPr>
        <w:t>B. fragilis</w:t>
      </w:r>
      <w:r>
        <w:rPr>
          <w:color w:val="222222"/>
        </w:rPr>
        <w:t xml:space="preserve"> resistance to clindamycin is now ~30–40%, cefoxitin ~15–25%. Amp-sulbactam has ~40–50% </w:t>
      </w:r>
      <w:r>
        <w:rPr>
          <w:i/>
          <w:iCs/>
          <w:color w:val="222222"/>
        </w:rPr>
        <w:t>E. coli</w:t>
      </w:r>
      <w:r>
        <w:rPr>
          <w:color w:val="222222"/>
        </w:rPr>
        <w:t xml:space="preserve"> resistance in many US regions.</w:t>
      </w:r>
    </w:p>
    <w:p w14:paraId="1A603E88" w14:textId="77777777" w:rsidR="00C56DE9" w:rsidRDefault="00000000">
      <w:pPr>
        <w:pStyle w:val="Heading1"/>
        <w:pBdr>
          <w:bottom w:val="single" w:sz="8" w:space="6" w:color="246A7A"/>
        </w:pBdr>
        <w:spacing w:before="260" w:after="120"/>
      </w:pPr>
      <w:r>
        <w:rPr>
          <w:b/>
          <w:bCs/>
          <w:color w:val="246A7A"/>
          <w:sz w:val="30"/>
          <w:szCs w:val="30"/>
        </w:rPr>
        <w:t>PART 2 — BY SYNDROME</w:t>
      </w:r>
    </w:p>
    <w:p w14:paraId="794B9629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Sepsis, source unknown</w:t>
      </w:r>
    </w:p>
    <w:p w14:paraId="63CC89EB" w14:textId="77777777" w:rsidR="00C56DE9" w:rsidRDefault="00000000">
      <w:pPr>
        <w:spacing w:after="100" w:line="254" w:lineRule="auto"/>
      </w:pPr>
      <w:r>
        <w:rPr>
          <w:b/>
          <w:bCs/>
          <w:color w:val="222222"/>
        </w:rPr>
        <w:t>Vancomycin + pip-</w:t>
      </w:r>
      <w:proofErr w:type="spellStart"/>
      <w:r>
        <w:rPr>
          <w:b/>
          <w:bCs/>
          <w:color w:val="222222"/>
        </w:rPr>
        <w:t>tazo</w:t>
      </w:r>
      <w:proofErr w:type="spellEnd"/>
      <w:r>
        <w:rPr>
          <w:color w:val="222222"/>
        </w:rPr>
        <w:t xml:space="preserve">, or </w:t>
      </w:r>
      <w:r>
        <w:rPr>
          <w:b/>
          <w:bCs/>
          <w:color w:val="222222"/>
        </w:rPr>
        <w:t>vancomycin + cefepime + metronidazole</w:t>
      </w:r>
      <w:r>
        <w:rPr>
          <w:color w:val="222222"/>
        </w:rPr>
        <w:t xml:space="preserve"> if intra-abdominal source plausible. Meropenem if prior ESBL/MDR.</w:t>
      </w:r>
    </w:p>
    <w:p w14:paraId="38D3F348" w14:textId="77777777" w:rsidR="00C56DE9" w:rsidRDefault="00000000">
      <w:pPr>
        <w:spacing w:after="100" w:line="254" w:lineRule="auto"/>
      </w:pPr>
      <w:proofErr w:type="spellStart"/>
      <w:r>
        <w:rPr>
          <w:i/>
          <w:iCs/>
          <w:color w:val="222222"/>
        </w:rPr>
        <w:lastRenderedPageBreak/>
        <w:t>Vanc</w:t>
      </w:r>
      <w:proofErr w:type="spellEnd"/>
      <w:r>
        <w:rPr>
          <w:i/>
          <w:iCs/>
          <w:color w:val="222222"/>
        </w:rPr>
        <w:t>/pip-</w:t>
      </w:r>
      <w:proofErr w:type="spellStart"/>
      <w:r>
        <w:rPr>
          <w:i/>
          <w:iCs/>
          <w:color w:val="222222"/>
        </w:rPr>
        <w:t>tazo</w:t>
      </w:r>
      <w:proofErr w:type="spellEnd"/>
      <w:r>
        <w:rPr>
          <w:i/>
          <w:iCs/>
          <w:color w:val="222222"/>
        </w:rPr>
        <w:t xml:space="preserve"> AKI:</w:t>
      </w:r>
      <w:r>
        <w:rPr>
          <w:color w:val="222222"/>
        </w:rPr>
        <w:t xml:space="preserve"> observational signal is confounded by pip-</w:t>
      </w:r>
      <w:proofErr w:type="spellStart"/>
      <w:r>
        <w:rPr>
          <w:color w:val="222222"/>
        </w:rPr>
        <w:t>tazo's</w:t>
      </w:r>
      <w:proofErr w:type="spellEnd"/>
      <w:r>
        <w:rPr>
          <w:color w:val="222222"/>
        </w:rPr>
        <w:t xml:space="preserve"> effect on creatinine secretion. ACORN found no AKI difference vs cefepime — but more neurotoxicity with cefepime. Choose on spectrum, not on the AKI concern.</w:t>
      </w:r>
    </w:p>
    <w:p w14:paraId="3628F51D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Community-acquired pneumonia</w:t>
      </w:r>
    </w:p>
    <w:p w14:paraId="5C5018D9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Non-severe: ceftriaxone + azithromycin, or respiratory fluoroquinolone</w:t>
      </w:r>
    </w:p>
    <w:p w14:paraId="07D62955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Severe/ICU: β-lactam + macrolide preferred over β-lactam + fluoroquinolone</w:t>
      </w:r>
    </w:p>
    <w:p w14:paraId="3DFC55F4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MRSA coverage: prior isolate, cavitary/necrotizing, empyema, post-influenza, gross hemoptysis, or severe disease with shock plus risk factors. Linezolid often favored for necrotizing MRSA pneumonia (ELF penetration, toxin suppression)</w:t>
      </w:r>
    </w:p>
    <w:p w14:paraId="147A54B3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Pseudomonas coverage: prior isolate, bronchiectasis/CF/severe COPD, recent hospitalization with IV antibiotics</w:t>
      </w:r>
    </w:p>
    <w:p w14:paraId="34100F73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Oseltamivir in season</w:t>
      </w:r>
    </w:p>
    <w:p w14:paraId="672D7FFF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HAP / VAP</w:t>
      </w:r>
    </w:p>
    <w:p w14:paraId="579455F1" w14:textId="77777777" w:rsidR="00C56DE9" w:rsidRDefault="00000000">
      <w:pPr>
        <w:spacing w:after="100" w:line="254" w:lineRule="auto"/>
      </w:pPr>
      <w:r>
        <w:rPr>
          <w:color w:val="222222"/>
        </w:rPr>
        <w:t>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>, cefepime, or meropenem. Add vancomycin/linezolid for MRSA risk factors, unit prevalence &gt;20% or unknown, or high mortality risk. VAP covers MRSA + Pseudomonas + other GNR. Second gram-negative agent only for septic shock, prior IV antibiotics (90d), ≥5 days hospitalized or ARDS preceding, acute RRT, or unit MDR prevalence &gt;10%.</w:t>
      </w:r>
    </w:p>
    <w:p w14:paraId="70B1E580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Urinary tract</w:t>
      </w:r>
    </w:p>
    <w:p w14:paraId="73BE4F5D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 xml:space="preserve">Low risk pyelonephritis: </w:t>
      </w:r>
      <w:r>
        <w:rPr>
          <w:b/>
          <w:bCs/>
          <w:color w:val="222222"/>
        </w:rPr>
        <w:t>ceftriaxone</w:t>
      </w:r>
    </w:p>
    <w:p w14:paraId="66F7AA54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 xml:space="preserve">Healthcare exposure, catheter, recent antibiotics, prior resistant isolate: </w:t>
      </w:r>
      <w:r>
        <w:rPr>
          <w:b/>
          <w:bCs/>
          <w:color w:val="222222"/>
        </w:rPr>
        <w:t>cefepime or pip-</w:t>
      </w:r>
      <w:proofErr w:type="spellStart"/>
      <w:r>
        <w:rPr>
          <w:b/>
          <w:bCs/>
          <w:color w:val="222222"/>
        </w:rPr>
        <w:t>tazo</w:t>
      </w:r>
      <w:proofErr w:type="spellEnd"/>
    </w:p>
    <w:p w14:paraId="464E48FC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 xml:space="preserve">Prior ESBL: </w:t>
      </w:r>
      <w:r>
        <w:rPr>
          <w:b/>
          <w:bCs/>
          <w:color w:val="222222"/>
        </w:rPr>
        <w:t>meropenem or ertapenem</w:t>
      </w:r>
    </w:p>
    <w:p w14:paraId="4452B7AD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Urosepsis: cefepime or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>, ± vancomycin for hardware, prior MRSA, or shock</w:t>
      </w:r>
    </w:p>
    <w:p w14:paraId="345D304E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 xml:space="preserve">Add </w:t>
      </w:r>
      <w:r>
        <w:rPr>
          <w:b/>
          <w:bCs/>
          <w:color w:val="222222"/>
        </w:rPr>
        <w:t>ampicillin</w:t>
      </w:r>
      <w:r>
        <w:rPr>
          <w:color w:val="222222"/>
        </w:rPr>
        <w:t xml:space="preserve"> when enterococcus is plausible — prior instrumentation, indwelling stent, chronic catheter</w:t>
      </w:r>
    </w:p>
    <w:p w14:paraId="7612EC9C" w14:textId="77777777" w:rsidR="00C56DE9" w:rsidRDefault="00000000">
      <w:pPr>
        <w:spacing w:before="100" w:after="100" w:line="254" w:lineRule="auto"/>
      </w:pPr>
      <w:r>
        <w:rPr>
          <w:b/>
          <w:bCs/>
          <w:color w:val="222222"/>
        </w:rPr>
        <w:t>Infected obstructing stone:</w:t>
      </w:r>
      <w:r>
        <w:rPr>
          <w:color w:val="222222"/>
        </w:rPr>
        <w:t xml:space="preserve"> a drainage problem before it is an antibiotic problem. Antibiotics do not sterilize an obstructed, high-pressure collecting system — urology or IR for nephrostomy or retrograde stent, and delay in decompression is what drives mortality. Organisms: </w:t>
      </w:r>
      <w:r>
        <w:rPr>
          <w:i/>
          <w:iCs/>
          <w:color w:val="222222"/>
        </w:rPr>
        <w:t>E. coli</w:t>
      </w:r>
      <w:r>
        <w:rPr>
          <w:color w:val="222222"/>
        </w:rPr>
        <w:t xml:space="preserve">, </w:t>
      </w:r>
      <w:r>
        <w:rPr>
          <w:i/>
          <w:iCs/>
          <w:color w:val="222222"/>
        </w:rPr>
        <w:t>Klebsiella</w:t>
      </w:r>
      <w:r>
        <w:rPr>
          <w:color w:val="222222"/>
        </w:rPr>
        <w:t xml:space="preserve">, </w:t>
      </w:r>
      <w:r>
        <w:rPr>
          <w:i/>
          <w:iCs/>
          <w:color w:val="222222"/>
        </w:rPr>
        <w:t>Proteus</w:t>
      </w:r>
      <w:r>
        <w:rPr>
          <w:color w:val="222222"/>
        </w:rPr>
        <w:t xml:space="preserve">, </w:t>
      </w:r>
      <w:r>
        <w:rPr>
          <w:i/>
          <w:iCs/>
          <w:color w:val="222222"/>
        </w:rPr>
        <w:t>Pseudomonas</w:t>
      </w:r>
      <w:r>
        <w:rPr>
          <w:color w:val="222222"/>
        </w:rPr>
        <w:t xml:space="preserve">, </w:t>
      </w:r>
      <w:r>
        <w:rPr>
          <w:i/>
          <w:iCs/>
          <w:color w:val="222222"/>
        </w:rPr>
        <w:t>Enterococcus</w:t>
      </w:r>
      <w:r>
        <w:rPr>
          <w:color w:val="222222"/>
        </w:rPr>
        <w:t xml:space="preserve"> (especially with prior stents), </w:t>
      </w:r>
      <w:r>
        <w:rPr>
          <w:i/>
          <w:iCs/>
          <w:color w:val="222222"/>
        </w:rPr>
        <w:t>Candida</w:t>
      </w:r>
      <w:r>
        <w:rPr>
          <w:color w:val="222222"/>
        </w:rPr>
        <w:t>. Ceftriaxone if community-acquired and low risk; cefepime or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 xml:space="preserve"> if instrumented, stented, healthcare-exposed, or septic; meropenem if prior ESBL; vancomycin for shock, hardware, or prior MRSA. </w:t>
      </w:r>
      <w:r>
        <w:rPr>
          <w:b/>
          <w:bCs/>
          <w:color w:val="222222"/>
        </w:rPr>
        <w:t>No anaerobic coverage.</w:t>
      </w:r>
      <w:r>
        <w:rPr>
          <w:color w:val="222222"/>
        </w:rPr>
        <w:t xml:space="preserve"> A struvite stone means a urease producer has been colonizing that system for a long time — </w:t>
      </w:r>
      <w:r>
        <w:rPr>
          <w:i/>
          <w:iCs/>
          <w:color w:val="222222"/>
        </w:rPr>
        <w:t>Proteus</w:t>
      </w:r>
      <w:r>
        <w:rPr>
          <w:color w:val="222222"/>
        </w:rPr>
        <w:t xml:space="preserve">, </w:t>
      </w:r>
      <w:r>
        <w:rPr>
          <w:i/>
          <w:iCs/>
          <w:color w:val="222222"/>
        </w:rPr>
        <w:t>Providencia</w:t>
      </w:r>
      <w:r>
        <w:rPr>
          <w:color w:val="222222"/>
        </w:rPr>
        <w:t xml:space="preserve">, </w:t>
      </w:r>
      <w:proofErr w:type="spellStart"/>
      <w:r>
        <w:rPr>
          <w:i/>
          <w:iCs/>
          <w:color w:val="222222"/>
        </w:rPr>
        <w:t>Morganella</w:t>
      </w:r>
      <w:proofErr w:type="spellEnd"/>
      <w:r>
        <w:rPr>
          <w:color w:val="222222"/>
        </w:rPr>
        <w:t xml:space="preserve">, </w:t>
      </w:r>
      <w:r>
        <w:rPr>
          <w:i/>
          <w:iCs/>
          <w:color w:val="222222"/>
        </w:rPr>
        <w:t>Klebsiella</w:t>
      </w:r>
      <w:r>
        <w:rPr>
          <w:color w:val="222222"/>
        </w:rPr>
        <w:t>.</w:t>
      </w:r>
    </w:p>
    <w:p w14:paraId="4F0C196D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Intra-abdominal</w:t>
      </w:r>
    </w:p>
    <w:p w14:paraId="1E385513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Community-acquired, mild-moderate: ceftriaxone + metronidazole, ertapenem, or cefoxitin</w:t>
      </w:r>
    </w:p>
    <w:p w14:paraId="722471A5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Community-acquired, severe: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>, cefepime + metronidazole, or meropenem</w:t>
      </w:r>
    </w:p>
    <w:p w14:paraId="7B28CC89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Healthcare-associated/postoperative: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 xml:space="preserve"> or meropenem ± vancomycin ± echinocandin</w:t>
      </w:r>
    </w:p>
    <w:p w14:paraId="673B9EE0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Add enterococcal coverage: healthcare-associated, postoperative, immunosuppressed, prosthetic valve, recurrent</w:t>
      </w:r>
    </w:p>
    <w:p w14:paraId="754AE1FF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Add antifungal: upper GI perforation, recurrent perforation, severe disease, immunosuppression. Echinocandin if critically ill, fluconazole if stable</w:t>
      </w:r>
    </w:p>
    <w:p w14:paraId="54CCDFAF" w14:textId="77777777" w:rsidR="00C56DE9" w:rsidRDefault="00000000">
      <w:pPr>
        <w:spacing w:before="100" w:after="40" w:line="254" w:lineRule="auto"/>
      </w:pPr>
      <w:r>
        <w:rPr>
          <w:b/>
          <w:bCs/>
          <w:color w:val="222222"/>
        </w:rPr>
        <w:t>SBP:</w:t>
      </w:r>
      <w:r>
        <w:rPr>
          <w:color w:val="222222"/>
        </w:rPr>
        <w:t xml:space="preserve"> ceftriaxone. Healthcare-associated or recent antibiotics →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 xml:space="preserve"> or carbapenem.</w:t>
      </w:r>
    </w:p>
    <w:p w14:paraId="52AE1391" w14:textId="77777777" w:rsidR="00C56DE9" w:rsidRDefault="00000000">
      <w:pPr>
        <w:spacing w:after="40" w:line="254" w:lineRule="auto"/>
      </w:pPr>
      <w:r>
        <w:rPr>
          <w:b/>
          <w:bCs/>
          <w:color w:val="222222"/>
        </w:rPr>
        <w:t>Cholangitis:</w:t>
      </w:r>
      <w:r>
        <w:rPr>
          <w:color w:val="222222"/>
        </w:rPr>
        <w:t xml:space="preserve"> ceftriaxone + metronidazole or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 xml:space="preserve"> — plus ERCP.</w:t>
      </w:r>
    </w:p>
    <w:p w14:paraId="7B317717" w14:textId="77777777" w:rsidR="00C56DE9" w:rsidRDefault="00000000">
      <w:pPr>
        <w:spacing w:after="40" w:line="254" w:lineRule="auto"/>
      </w:pPr>
      <w:r>
        <w:rPr>
          <w:b/>
          <w:bCs/>
          <w:color w:val="222222"/>
        </w:rPr>
        <w:t>Necrotizing pancreatitis:</w:t>
      </w:r>
      <w:r>
        <w:rPr>
          <w:color w:val="222222"/>
        </w:rPr>
        <w:t xml:space="preserve"> no prophylaxis. Treat only documented infected necrosis (carbapenems penetrate best).</w:t>
      </w:r>
    </w:p>
    <w:p w14:paraId="33B2B042" w14:textId="77777777" w:rsidR="00C56DE9" w:rsidRDefault="00000000">
      <w:pPr>
        <w:spacing w:after="100" w:line="254" w:lineRule="auto"/>
      </w:pPr>
      <w:r>
        <w:rPr>
          <w:b/>
          <w:bCs/>
          <w:color w:val="222222"/>
        </w:rPr>
        <w:t>C. difficile:</w:t>
      </w:r>
      <w:r>
        <w:rPr>
          <w:color w:val="222222"/>
        </w:rPr>
        <w:t xml:space="preserve"> oral vancomycin or fidaxomicin. Fulminant → oral vancomycin + IV metronidazole, surgical consult.</w:t>
      </w:r>
    </w:p>
    <w:p w14:paraId="6920940A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Skin and soft tissue</w:t>
      </w:r>
    </w:p>
    <w:p w14:paraId="21DC2916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proofErr w:type="spellStart"/>
      <w:r>
        <w:rPr>
          <w:color w:val="222222"/>
        </w:rPr>
        <w:t>Nonpurulent</w:t>
      </w:r>
      <w:proofErr w:type="spellEnd"/>
      <w:r>
        <w:rPr>
          <w:color w:val="222222"/>
        </w:rPr>
        <w:t xml:space="preserve"> cellulitis: </w:t>
      </w:r>
      <w:r>
        <w:rPr>
          <w:b/>
          <w:bCs/>
          <w:color w:val="222222"/>
        </w:rPr>
        <w:t>cefazolin or ceftriaxone</w:t>
      </w:r>
      <w:r>
        <w:rPr>
          <w:color w:val="222222"/>
        </w:rPr>
        <w:t xml:space="preserve"> — streptococcal disease, MRSA coverage not routine</w:t>
      </w:r>
    </w:p>
    <w:p w14:paraId="16210896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Purulent/abscess: I&amp;D is the treatment; TMP-SMX or doxycycline, vancomycin if systemically ill</w:t>
      </w:r>
    </w:p>
    <w:p w14:paraId="0C5322EF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Severe: vancomycin + pip-</w:t>
      </w:r>
      <w:proofErr w:type="spellStart"/>
      <w:r>
        <w:rPr>
          <w:color w:val="222222"/>
        </w:rPr>
        <w:t>tazo</w:t>
      </w:r>
      <w:proofErr w:type="spellEnd"/>
    </w:p>
    <w:p w14:paraId="6C6FE664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lastRenderedPageBreak/>
        <w:t>Necrotizing: vancomycin (or linezolid) +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 xml:space="preserve"> (or meropenem) + </w:t>
      </w:r>
      <w:r>
        <w:rPr>
          <w:b/>
          <w:bCs/>
          <w:color w:val="222222"/>
        </w:rPr>
        <w:t>clindamycin for toxin suppression</w:t>
      </w:r>
      <w:r>
        <w:rPr>
          <w:color w:val="222222"/>
        </w:rPr>
        <w:t>; debridement is the treatment. Consider IVIG for streptococcal TSS</w:t>
      </w:r>
    </w:p>
    <w:p w14:paraId="1BE673AE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>Diabetic foot, moderate-severe: amp-sulbactam, ertapenem, or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>; vancomycin for MRSA risk; Pseudomonas coverage for maceration, water exposure, prior isolate, or treatment failure</w:t>
      </w:r>
    </w:p>
    <w:p w14:paraId="72F09C85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 xml:space="preserve">Bites: amp-sulbactam or </w:t>
      </w:r>
      <w:proofErr w:type="spellStart"/>
      <w:r>
        <w:rPr>
          <w:color w:val="222222"/>
        </w:rPr>
        <w:t>amox-clav</w:t>
      </w:r>
      <w:proofErr w:type="spellEnd"/>
      <w:r>
        <w:rPr>
          <w:color w:val="222222"/>
        </w:rPr>
        <w:t xml:space="preserve"> (</w:t>
      </w:r>
      <w:r>
        <w:rPr>
          <w:i/>
          <w:iCs/>
          <w:color w:val="222222"/>
        </w:rPr>
        <w:t>Pasteurella</w:t>
      </w:r>
      <w:r>
        <w:rPr>
          <w:color w:val="222222"/>
        </w:rPr>
        <w:t xml:space="preserve">, </w:t>
      </w:r>
      <w:proofErr w:type="spellStart"/>
      <w:r>
        <w:rPr>
          <w:i/>
          <w:iCs/>
          <w:color w:val="222222"/>
        </w:rPr>
        <w:t>Eikenella</w:t>
      </w:r>
      <w:proofErr w:type="spellEnd"/>
      <w:r>
        <w:rPr>
          <w:color w:val="222222"/>
        </w:rPr>
        <w:t xml:space="preserve">, </w:t>
      </w:r>
      <w:proofErr w:type="spellStart"/>
      <w:r>
        <w:rPr>
          <w:i/>
          <w:iCs/>
          <w:color w:val="222222"/>
        </w:rPr>
        <w:t>Capnocytophaga</w:t>
      </w:r>
      <w:proofErr w:type="spellEnd"/>
      <w:r>
        <w:rPr>
          <w:color w:val="222222"/>
        </w:rPr>
        <w:t xml:space="preserve">). Cephalexin and clindamycin miss both </w:t>
      </w:r>
      <w:r>
        <w:rPr>
          <w:i/>
          <w:iCs/>
          <w:color w:val="222222"/>
        </w:rPr>
        <w:t>Pasteurella</w:t>
      </w:r>
      <w:r>
        <w:rPr>
          <w:color w:val="222222"/>
        </w:rPr>
        <w:t xml:space="preserve"> and </w:t>
      </w:r>
      <w:proofErr w:type="spellStart"/>
      <w:r>
        <w:rPr>
          <w:i/>
          <w:iCs/>
          <w:color w:val="222222"/>
        </w:rPr>
        <w:t>Eikenella</w:t>
      </w:r>
      <w:proofErr w:type="spellEnd"/>
    </w:p>
    <w:p w14:paraId="13B19101" w14:textId="77777777" w:rsidR="00C56DE9" w:rsidRDefault="00000000"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 xml:space="preserve">Salt/brackish water with cirrhosis → </w:t>
      </w:r>
      <w:r>
        <w:rPr>
          <w:i/>
          <w:iCs/>
          <w:color w:val="222222"/>
        </w:rPr>
        <w:t>Vibrio vulnificus</w:t>
      </w:r>
      <w:r>
        <w:rPr>
          <w:color w:val="222222"/>
        </w:rPr>
        <w:t xml:space="preserve">: doxycycline + ceftriaxone. Fresh water → </w:t>
      </w:r>
      <w:r>
        <w:rPr>
          <w:i/>
          <w:iCs/>
          <w:color w:val="222222"/>
        </w:rPr>
        <w:t>Aeromonas</w:t>
      </w:r>
      <w:r>
        <w:rPr>
          <w:color w:val="222222"/>
        </w:rPr>
        <w:t>: cipro or ceftriaxone</w:t>
      </w:r>
    </w:p>
    <w:p w14:paraId="1E14A26A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Meningitis</w:t>
      </w:r>
    </w:p>
    <w:p w14:paraId="18A78830" w14:textId="77777777" w:rsidR="00C56DE9" w:rsidRDefault="00000000">
      <w:pPr>
        <w:spacing w:after="100" w:line="254" w:lineRule="auto"/>
      </w:pPr>
      <w:r>
        <w:rPr>
          <w:color w:val="222222"/>
        </w:rPr>
        <w:t xml:space="preserve">Vancomycin + ceftriaxone. Add </w:t>
      </w:r>
      <w:r>
        <w:rPr>
          <w:b/>
          <w:bCs/>
          <w:color w:val="222222"/>
        </w:rPr>
        <w:t>ampicillin</w:t>
      </w:r>
      <w:r>
        <w:rPr>
          <w:color w:val="222222"/>
        </w:rPr>
        <w:t xml:space="preserve"> for </w:t>
      </w:r>
      <w:r>
        <w:rPr>
          <w:i/>
          <w:iCs/>
          <w:color w:val="222222"/>
        </w:rPr>
        <w:t>Listeria</w:t>
      </w:r>
      <w:r>
        <w:rPr>
          <w:color w:val="222222"/>
        </w:rPr>
        <w:t xml:space="preserve"> if &gt;50, immunocompromised, pregnant, or alcohol use disorder. Post-neurosurgical/shunt/penetrating trauma → vancomycin + cefepime or meropenem. Add acyclovir for encephalitic features. Do not delay antibiotics for imaging or LP.</w:t>
      </w:r>
    </w:p>
    <w:p w14:paraId="6E205E72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Endocarditis</w:t>
      </w:r>
    </w:p>
    <w:p w14:paraId="6AD4206A" w14:textId="77777777" w:rsidR="00C56DE9" w:rsidRDefault="00000000">
      <w:pPr>
        <w:spacing w:after="100" w:line="254" w:lineRule="auto"/>
      </w:pPr>
      <w:r>
        <w:rPr>
          <w:color w:val="222222"/>
        </w:rPr>
        <w:t>Native valve: vancomycin ± ceftriaxone; add antipseudomonal coverage for PWID. Prosthetic valve: vancomycin + gentamicin + rifampin ± cefepime.</w:t>
      </w:r>
    </w:p>
    <w:p w14:paraId="66EC7D03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Neutropenic fever</w:t>
      </w:r>
    </w:p>
    <w:p w14:paraId="1984DBB2" w14:textId="77777777" w:rsidR="00C56DE9" w:rsidRDefault="00000000">
      <w:pPr>
        <w:spacing w:after="100" w:line="254" w:lineRule="auto"/>
      </w:pPr>
      <w:r>
        <w:rPr>
          <w:color w:val="222222"/>
        </w:rPr>
        <w:t>Antipseudomonal β-lactam monotherapy — cefepime, pip-</w:t>
      </w:r>
      <w:proofErr w:type="spellStart"/>
      <w:r>
        <w:rPr>
          <w:color w:val="222222"/>
        </w:rPr>
        <w:t>tazo</w:t>
      </w:r>
      <w:proofErr w:type="spellEnd"/>
      <w:r>
        <w:rPr>
          <w:color w:val="222222"/>
        </w:rPr>
        <w:t>, meropenem, or imipenem. Add vancomycin only for hemodynamic instability, pneumonia, suspected line infection, SSTI, known MRSA colonization, or severe mucositis on fluoroquinolone prophylaxis. Antifungal for persistent fever: echinocandin, liposomal amphotericin, or mold-active azole.</w:t>
      </w:r>
    </w:p>
    <w:p w14:paraId="18ECFBF5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Bone and joint</w:t>
      </w:r>
    </w:p>
    <w:p w14:paraId="568A93A2" w14:textId="77777777" w:rsidR="00C56DE9" w:rsidRDefault="00000000">
      <w:pPr>
        <w:spacing w:after="100" w:line="254" w:lineRule="auto"/>
      </w:pPr>
      <w:r>
        <w:rPr>
          <w:color w:val="222222"/>
        </w:rPr>
        <w:t xml:space="preserve">Septic arthritis: vancomycin + ceftriaxone (cefepime for Pseudomonas risk or PWID); gonococcal → ceftriaxone. </w:t>
      </w:r>
      <w:r>
        <w:rPr>
          <w:b/>
          <w:bCs/>
          <w:color w:val="222222"/>
        </w:rPr>
        <w:t>Vertebral osteomyelitis: if hemodynamically stable, don't start empirics</w:t>
      </w:r>
      <w:r>
        <w:rPr>
          <w:color w:val="222222"/>
        </w:rPr>
        <w:t xml:space="preserve"> — blind therapy commits the patient to six weeks and burns the diagnosis. Prosthetic joint: vancomycin + cefepime, coordinate with ortho.</w:t>
      </w:r>
    </w:p>
    <w:p w14:paraId="1D4E9F72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Line infection</w:t>
      </w:r>
    </w:p>
    <w:p w14:paraId="6C4799F9" w14:textId="77777777" w:rsidR="00C56DE9" w:rsidRDefault="00000000">
      <w:pPr>
        <w:spacing w:after="100" w:line="254" w:lineRule="auto"/>
      </w:pPr>
      <w:r>
        <w:rPr>
          <w:color w:val="222222"/>
        </w:rPr>
        <w:t xml:space="preserve">Vancomycin + antipseudomonal β-lactam. Add echinocandin for TPN, femoral line, prolonged broad-spectrum antibiotics, hematologic malignancy, transplant, or multi-site </w:t>
      </w:r>
      <w:r>
        <w:rPr>
          <w:i/>
          <w:iCs/>
          <w:color w:val="222222"/>
        </w:rPr>
        <w:t>Candida</w:t>
      </w:r>
      <w:r>
        <w:rPr>
          <w:color w:val="222222"/>
        </w:rPr>
        <w:t xml:space="preserve"> colonization.</w:t>
      </w:r>
    </w:p>
    <w:p w14:paraId="11EAE331" w14:textId="77777777" w:rsidR="00C56DE9" w:rsidRDefault="00000000">
      <w:pPr>
        <w:pStyle w:val="Heading3"/>
        <w:spacing w:before="155" w:after="65"/>
      </w:pPr>
      <w:r>
        <w:rPr>
          <w:b/>
          <w:bCs/>
          <w:color w:val="4A5A62"/>
          <w:sz w:val="21"/>
          <w:szCs w:val="21"/>
        </w:rPr>
        <w:t>Asplenia</w:t>
      </w:r>
    </w:p>
    <w:p w14:paraId="7B1A7A55" w14:textId="77777777" w:rsidR="00C56DE9" w:rsidRDefault="00000000">
      <w:pPr>
        <w:spacing w:after="100" w:line="254" w:lineRule="auto"/>
      </w:pPr>
      <w:r>
        <w:rPr>
          <w:color w:val="222222"/>
        </w:rPr>
        <w:t xml:space="preserve">Ceftriaxone + vancomycin. Encapsulated organisms, plus </w:t>
      </w:r>
      <w:proofErr w:type="spellStart"/>
      <w:r>
        <w:rPr>
          <w:i/>
          <w:iCs/>
          <w:color w:val="222222"/>
        </w:rPr>
        <w:t>Capnocytophaga</w:t>
      </w:r>
      <w:proofErr w:type="spellEnd"/>
      <w:r>
        <w:rPr>
          <w:color w:val="222222"/>
        </w:rPr>
        <w:t xml:space="preserve"> after dog bite.</w:t>
      </w:r>
    </w:p>
    <w:p>
      <w:pPr>
        <w:pStyle w:val="Heading1"/>
        <w:pBdr>
          <w:bottom w:val="single" w:sz="8" w:space="6" w:color="246A7A"/>
        </w:pBdr>
        <w:spacing w:before="260" w:after="120"/>
      </w:pPr>
      <w:r>
        <w:rPr>
          <w:b/>
          <w:bCs/>
          <w:color w:val="246A7A"/>
          <w:sz w:val="30"/>
          <w:szCs w:val="30"/>
        </w:rPr>
        <w:t xml:space="preserve">PART 3 — PHARMACOKINETIC PEARLS</w:t>
      </w:r>
    </w:p>
    <w:p>
      <w:pPr>
        <w:spacing w:after="40"/>
      </w:pPr>
      <w:r>
        <w:rPr>
          <w:color w:val="222222"/>
        </w:rPr>
        <w:t xml:space="preserve">Why the right drug still fails: the wrong exposure at the site of infection.</w:t>
      </w:r>
    </w:p>
    <w:p>
      <w:pPr>
        <w:pStyle w:val="Heading2"/>
        <w:spacing w:before="240" w:after="90"/>
      </w:pPr>
      <w:r>
        <w:rPr>
          <w:b/>
          <w:bCs/>
          <w:color w:val="1A3A4A"/>
          <w:sz w:val="24"/>
          <w:szCs w:val="24"/>
        </w:rPr>
        <w:t xml:space="preserve">Protein binding and hypoalbuminemia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Ertapenem</w:t>
      </w:r>
      <w:r>
        <w:rPr>
          <w:color w:val="222222"/>
        </w:rPr>
        <w:t xml:space="preserve"> is ~95% protein bound — the most albumin-dependent antibiotic in common use. Low albumin raises the free fraction, which expands the volume of distribution and accelerates clearance, so the once-daily dose can fall below target for much of the interval. In the hypoalbuminemic critically ill, prefer meropenem.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Ceftriaxone</w:t>
      </w:r>
      <w:r>
        <w:rPr>
          <w:color w:val="222222"/>
        </w:rPr>
        <w:t xml:space="preserve"> (~85–95%) and </w:t>
      </w:r>
      <w:r>
        <w:rPr>
          <w:b/>
          <w:bCs/>
          <w:color w:val="222222"/>
        </w:rPr>
        <w:t xml:space="preserve">daptomycin</w:t>
      </w:r>
      <w:r>
        <w:rPr>
          <w:color w:val="222222"/>
        </w:rPr>
        <w:t xml:space="preserve"> (~90%) shift the same way, and both are also once-daily — the same trap.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 xml:space="preserve">Only free drug is active. A reassuring total level can sit on top of an inadequate free level; the assay usually reports total.</w:t>
      </w:r>
    </w:p>
    <w:p>
      <w:pPr>
        <w:pStyle w:val="Heading2"/>
        <w:spacing w:before="240" w:after="90"/>
      </w:pPr>
      <w:r>
        <w:rPr>
          <w:b/>
          <w:bCs/>
          <w:color w:val="1A3A4A"/>
          <w:sz w:val="24"/>
          <w:szCs w:val="24"/>
        </w:rPr>
        <w:t xml:space="preserve">Time- versus concentration-dependent killing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β-lactams kill by time above MIC.</w:t>
      </w:r>
      <w:r>
        <w:rPr>
          <w:color w:val="222222"/>
        </w:rPr>
        <w:t xml:space="preserve"> In sepsis or with high-MIC organisms, extended (3–4 h) or continuous infusion of pip-tazo, cefepime, or meropenem improves target attainment. Always give a conventional bolus first — an infusion alone takes hours to reach concentration.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Aminoglycosides and fluoroquinolones are concentration-dependent</w:t>
      </w:r>
      <w:r>
        <w:rPr>
          <w:color w:val="222222"/>
        </w:rPr>
        <w:t xml:space="preserve"> (Cmax/MIC, AUC/MIC). Once-daily aminoglycoside dosing exploits that plus the post-antibiotic effect, and is less nephrotoxic than divided dosing.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Vancomycin is AUC-driven</w:t>
      </w:r>
      <w:r>
        <w:rPr>
          <w:color w:val="222222"/>
        </w:rPr>
        <w:t xml:space="preserve"> — target AUC24/MIC ≥400. AUC-guided dosing replaced trough-only monitoring in the 2020 consensus guideline; troughs of 15–20 overshoot and drive nephrotoxicity.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Loading doses are set by volume of distribution, not clearance.</w:t>
      </w:r>
      <w:r>
        <w:rPr>
          <w:color w:val="222222"/>
        </w:rPr>
        <w:t xml:space="preserve"> Sepsis expands the Vd of hydrophilic drugs, so load vancomycin at 20–25 mg/kg and do </w:t>
      </w:r>
      <w:r>
        <w:rPr>
          <w:i/>
          <w:iCs/>
          <w:color w:val="222222"/>
        </w:rPr>
        <w:t xml:space="preserve">not</w:t>
      </w:r>
      <w:r>
        <w:rPr>
          <w:color w:val="222222"/>
        </w:rPr>
        <w:t xml:space="preserve"> reduce a loading dose for renal failure — reduce the maintenance dose.</w:t>
      </w:r>
    </w:p>
    <w:p>
      <w:pPr>
        <w:pStyle w:val="Heading2"/>
        <w:spacing w:before="240" w:after="90"/>
      </w:pPr>
      <w:r>
        <w:rPr>
          <w:b/>
          <w:bCs/>
          <w:color w:val="1A3A4A"/>
          <w:sz w:val="24"/>
          <w:szCs w:val="24"/>
        </w:rPr>
        <w:t xml:space="preserve">Penetration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Lung:</w:t>
      </w:r>
      <w:r>
        <w:rPr>
          <w:color w:val="222222"/>
        </w:rPr>
        <w:t xml:space="preserve"> linezolid reaches high epithelial lining fluid concentrations; vancomycin penetrates poorly, which is part of why it underperforms in MRSA pneumonia. Aminoglycosides penetrate poorly and are inactivated at the acidic pH of purulent airways — never monotherapy for pneumonia.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CNS:</w:t>
      </w:r>
      <w:r>
        <w:rPr>
          <w:color w:val="222222"/>
        </w:rPr>
        <w:t xml:space="preserve"> ceftriaxone, cefepime, meropenem, linezolid, metronidazole, and TMP-SMX cross usefully. Cefazolin, ertapenem, daptomycin, and the aminoglycosides do not.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Urine:</w:t>
      </w:r>
      <w:r>
        <w:rPr>
          <w:color w:val="222222"/>
        </w:rPr>
        <w:t xml:space="preserve"> nitrofurantoin and fosfomycin concentrate in bladder urine and reach nothing else — cystitis only, never pyelonephritis, prostatitis, or bacteremia. Nitrofurantoin stops achieving urinary concentrations as CrCl falls below ~30–45.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Moxifloxacin</w:t>
      </w:r>
      <w:r>
        <w:rPr>
          <w:color w:val="222222"/>
        </w:rPr>
        <w:t xml:space="preserve"> is the fluoroquinolone that does </w:t>
      </w:r>
      <w:r>
        <w:rPr>
          <w:i/>
          <w:iCs/>
          <w:color w:val="222222"/>
        </w:rPr>
        <w:t xml:space="preserve">not</w:t>
      </w:r>
      <w:r>
        <w:rPr>
          <w:color w:val="222222"/>
        </w:rPr>
        <w:t xml:space="preserve"> concentrate in urine — do not use it for UTI.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Abscess:</w:t>
      </w:r>
      <w:r>
        <w:rPr>
          <w:color w:val="222222"/>
        </w:rPr>
        <w:t xml:space="preserve"> aminoglycosides are inactive in acidic, hypoxic, high-inoculum collections. Drainage is the intervention; the antibiotic is adjunctive.</w:t>
      </w:r>
    </w:p>
    <w:p>
      <w:pPr>
        <w:pStyle w:val="Heading2"/>
        <w:spacing w:before="240" w:after="90"/>
      </w:pPr>
      <w:r>
        <w:rPr>
          <w:b/>
          <w:bCs/>
          <w:color w:val="1A3A4A"/>
          <w:sz w:val="24"/>
          <w:szCs w:val="24"/>
        </w:rPr>
        <w:t xml:space="preserve">Oral bioavailability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 xml:space="preserve">Essentially complete oral absorption: </w:t>
      </w:r>
      <w:r>
        <w:rPr>
          <w:b/>
          <w:bCs/>
          <w:color w:val="222222"/>
        </w:rPr>
        <w:t xml:space="preserve">linezolid, fluoroquinolones, metronidazole, TMP-SMX, doxycycline, fluconazole</w:t>
      </w:r>
      <w:r>
        <w:rPr>
          <w:color w:val="222222"/>
        </w:rPr>
        <w:t xml:space="preserve">, and clindamycin (~90%). With a working gut, IV buys nothing but a line.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Oral vancomycin is not absorbed</w:t>
      </w:r>
      <w:r>
        <w:rPr>
          <w:color w:val="222222"/>
        </w:rPr>
        <w:t xml:space="preserve"> — it treats C. difficile and nothing else. The converse also holds: IV vancomycin does not treat C. difficile.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color w:val="222222"/>
        </w:rPr>
        <w:t xml:space="preserve">Most β-lactams have poor or erratic oral bioavailability — the main reason serious β-lactam-susceptible infections stay parenteral.</w:t>
      </w:r>
    </w:p>
    <w:p>
      <w:pPr>
        <w:pStyle w:val="Heading2"/>
        <w:spacing w:before="240" w:after="90"/>
      </w:pPr>
      <w:r>
        <w:rPr>
          <w:b/>
          <w:bCs/>
          <w:color w:val="1A3A4A"/>
          <w:sz w:val="24"/>
          <w:szCs w:val="24"/>
        </w:rPr>
        <w:t xml:space="preserve">Dose adjustment and toxicity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Cefepime</w:t>
      </w:r>
      <w:r>
        <w:rPr>
          <w:color w:val="222222"/>
        </w:rPr>
        <w:t xml:space="preserve"> accumulates in renal impairment and causes neurotoxicity — encephalopathy, myoclonus, non-convulsive status. It is frequently missed because the patient is already delirious.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Linezolid</w:t>
      </w:r>
      <w:r>
        <w:rPr>
          <w:color w:val="222222"/>
        </w:rPr>
        <w:t xml:space="preserve"> needs no renal adjustment, but causes myelosuppression after roughly two weeks, and is a weak MAO inhibitor — serotonin syndrome with SSRIs.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Ceftriaxone</w:t>
      </w:r>
      <w:r>
        <w:rPr>
          <w:color w:val="222222"/>
        </w:rPr>
        <w:t xml:space="preserve"> is largely biliary and needs no renal adjustment; it causes biliary sludging and pseudolithiasis.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TMP-SMX</w:t>
      </w:r>
      <w:r>
        <w:rPr>
          <w:color w:val="222222"/>
        </w:rPr>
        <w:t xml:space="preserve"> blocks tubular creatinine secretion, so creatinine rises without any fall in GFR. It also causes real hyperkalemia — that part is not an artifact.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Fluoroquinolones</w:t>
      </w:r>
      <w:r>
        <w:rPr>
          <w:color w:val="222222"/>
        </w:rPr>
        <w:t xml:space="preserve"> chelate calcium, iron, magnesium, and tube feeds — separate dosing or the drug is not absorbed.</w:t>
      </w:r>
    </w:p>
    <w:p>
      <w:pPr>
        <w:pStyle w:val="ListParagraph"/>
        <w:numPr>
          <w:ilvl w:val="0"/>
          <w:numId w:val="2"/>
        </w:numPr>
        <w:spacing w:after="40" w:line="254" w:lineRule="auto"/>
      </w:pPr>
      <w:r>
        <w:rPr>
          <w:b/>
          <w:bCs/>
          <w:color w:val="222222"/>
        </w:rPr>
        <w:t xml:space="preserve">Rifampin</w:t>
      </w:r>
      <w:r>
        <w:rPr>
          <w:color w:val="222222"/>
        </w:rPr>
        <w:t xml:space="preserve"> is a potent CYP450 inducer and will lower levels of most things the patient is already taking.</w:t>
      </w:r>
    </w:p>
    <w:p w14:paraId="41D3FD2C" w14:textId="77777777" w:rsidR="00C56DE9" w:rsidRDefault="00000000">
      <w:pPr>
        <w:pStyle w:val="Heading1"/>
        <w:pBdr>
          <w:bottom w:val="single" w:sz="8" w:space="6" w:color="246A7A"/>
        </w:pBdr>
        <w:spacing w:before="260" w:after="120"/>
      </w:pPr>
      <w:r>
        <w:rPr>
          <w:b/>
          <w:bCs/>
          <w:color w:val="246A7A"/>
          <w:sz w:val="30"/>
          <w:szCs w:val="30"/>
        </w:rPr>
        <w:t>β-LACTAM ALLERGY</w:t>
      </w:r>
    </w:p>
    <w:p w14:paraId="7CA46935" w14:textId="77777777" w:rsidR="00C56DE9" w:rsidRDefault="00000000">
      <w:pPr>
        <w:spacing w:after="100" w:line="254" w:lineRule="auto"/>
      </w:pPr>
      <w:r>
        <w:rPr>
          <w:color w:val="222222"/>
        </w:rPr>
        <w:t xml:space="preserve">&gt;90% of reported penicillin allergies are not real. Cephalosporins are safe with non-severe penicillin allergy — cross-reactivity tracks R1 side chains, and cefazolin shares its side chain with nothing. Aztreonam is the option for true </w:t>
      </w:r>
      <w:proofErr w:type="gramStart"/>
      <w:r>
        <w:rPr>
          <w:color w:val="222222"/>
        </w:rPr>
        <w:t>anaphylaxis, but</w:t>
      </w:r>
      <w:proofErr w:type="gramEnd"/>
      <w:r>
        <w:rPr>
          <w:color w:val="222222"/>
        </w:rPr>
        <w:t xml:space="preserve"> shares a side chain with ceftazidime.</w:t>
      </w:r>
    </w:p>
    <w:p w14:paraId="4A65097E" w14:textId="77777777" w:rsidR="00C56DE9" w:rsidRDefault="00000000">
      <w:pPr>
        <w:pBdr>
          <w:top w:val="single" w:sz="6" w:space="8" w:color="246A7A"/>
        </w:pBdr>
        <w:spacing w:before="110"/>
      </w:pPr>
      <w:r>
        <w:rPr>
          <w:i/>
          <w:iCs/>
          <w:color w:val="4A5A62"/>
          <w:sz w:val="19"/>
          <w:szCs w:val="19"/>
        </w:rPr>
        <w:t xml:space="preserve">Local antibiogram overrides </w:t>
      </w:r>
      <w:proofErr w:type="gramStart"/>
      <w:r>
        <w:rPr>
          <w:i/>
          <w:iCs/>
          <w:color w:val="4A5A62"/>
          <w:sz w:val="19"/>
          <w:szCs w:val="19"/>
        </w:rPr>
        <w:t>all of</w:t>
      </w:r>
      <w:proofErr w:type="gramEnd"/>
      <w:r>
        <w:rPr>
          <w:i/>
          <w:iCs/>
          <w:color w:val="4A5A62"/>
          <w:sz w:val="19"/>
          <w:szCs w:val="19"/>
        </w:rPr>
        <w:t xml:space="preserve"> the above.</w:t>
      </w:r>
    </w:p>
    <w:sectPr w:rsidR="00C56DE9">
      <w:pgSz w:w="12240" w:h="15840"/>
      <w:pgMar w:top="1224" w:right="1440" w:bottom="936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A362D7"/>
    <w:multiLevelType w:val="hybridMultilevel"/>
    <w:tmpl w:val="5AB07C6C"/>
    <w:lvl w:ilvl="0" w:tplc="9808D63A">
      <w:start w:val="1"/>
      <w:numFmt w:val="bullet"/>
      <w:lvlText w:val="●"/>
      <w:lvlJc w:val="left"/>
      <w:pPr>
        <w:ind w:left="720" w:hanging="360"/>
      </w:pPr>
    </w:lvl>
    <w:lvl w:ilvl="1" w:tplc="ECF61D8C">
      <w:start w:val="1"/>
      <w:numFmt w:val="bullet"/>
      <w:lvlText w:val="○"/>
      <w:lvlJc w:val="left"/>
      <w:pPr>
        <w:ind w:left="1440" w:hanging="360"/>
      </w:pPr>
    </w:lvl>
    <w:lvl w:ilvl="2" w:tplc="F820A8FC">
      <w:start w:val="1"/>
      <w:numFmt w:val="bullet"/>
      <w:lvlText w:val="■"/>
      <w:lvlJc w:val="left"/>
      <w:pPr>
        <w:ind w:left="2160" w:hanging="360"/>
      </w:pPr>
    </w:lvl>
    <w:lvl w:ilvl="3" w:tplc="6CB26BC2">
      <w:start w:val="1"/>
      <w:numFmt w:val="bullet"/>
      <w:lvlText w:val="●"/>
      <w:lvlJc w:val="left"/>
      <w:pPr>
        <w:ind w:left="2880" w:hanging="360"/>
      </w:pPr>
    </w:lvl>
    <w:lvl w:ilvl="4" w:tplc="646AA130">
      <w:start w:val="1"/>
      <w:numFmt w:val="bullet"/>
      <w:lvlText w:val="○"/>
      <w:lvlJc w:val="left"/>
      <w:pPr>
        <w:ind w:left="3600" w:hanging="360"/>
      </w:pPr>
    </w:lvl>
    <w:lvl w:ilvl="5" w:tplc="4C7243B8">
      <w:start w:val="1"/>
      <w:numFmt w:val="bullet"/>
      <w:lvlText w:val="■"/>
      <w:lvlJc w:val="left"/>
      <w:pPr>
        <w:ind w:left="4320" w:hanging="360"/>
      </w:pPr>
    </w:lvl>
    <w:lvl w:ilvl="6" w:tplc="5D642DFA">
      <w:start w:val="1"/>
      <w:numFmt w:val="bullet"/>
      <w:lvlText w:val="●"/>
      <w:lvlJc w:val="left"/>
      <w:pPr>
        <w:ind w:left="5040" w:hanging="360"/>
      </w:pPr>
    </w:lvl>
    <w:lvl w:ilvl="7" w:tplc="1AD6D2FA">
      <w:start w:val="1"/>
      <w:numFmt w:val="bullet"/>
      <w:lvlText w:val="●"/>
      <w:lvlJc w:val="left"/>
      <w:pPr>
        <w:ind w:left="5760" w:hanging="360"/>
      </w:pPr>
    </w:lvl>
    <w:lvl w:ilvl="8" w:tplc="4816C7A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AA5641"/>
    <w:multiLevelType w:val="hybridMultilevel"/>
    <w:tmpl w:val="8D5EF5F0"/>
    <w:lvl w:ilvl="0" w:tplc="C160364A">
      <w:start w:val="1"/>
      <w:numFmt w:val="bullet"/>
      <w:lvlText w:val="•"/>
      <w:lvlJc w:val="left"/>
      <w:pPr>
        <w:ind w:left="360" w:hanging="200"/>
      </w:pPr>
    </w:lvl>
    <w:lvl w:ilvl="1" w:tplc="1DD6F508">
      <w:numFmt w:val="decimal"/>
      <w:lvlText w:val=""/>
      <w:lvlJc w:val="left"/>
    </w:lvl>
    <w:lvl w:ilvl="2" w:tplc="EA22BD68">
      <w:numFmt w:val="decimal"/>
      <w:lvlText w:val=""/>
      <w:lvlJc w:val="left"/>
    </w:lvl>
    <w:lvl w:ilvl="3" w:tplc="BECE8BAA">
      <w:numFmt w:val="decimal"/>
      <w:lvlText w:val=""/>
      <w:lvlJc w:val="left"/>
    </w:lvl>
    <w:lvl w:ilvl="4" w:tplc="9ECECE06">
      <w:numFmt w:val="decimal"/>
      <w:lvlText w:val=""/>
      <w:lvlJc w:val="left"/>
    </w:lvl>
    <w:lvl w:ilvl="5" w:tplc="620AB0AA">
      <w:numFmt w:val="decimal"/>
      <w:lvlText w:val=""/>
      <w:lvlJc w:val="left"/>
    </w:lvl>
    <w:lvl w:ilvl="6" w:tplc="0512F606">
      <w:numFmt w:val="decimal"/>
      <w:lvlText w:val=""/>
      <w:lvlJc w:val="left"/>
    </w:lvl>
    <w:lvl w:ilvl="7" w:tplc="C5DAD78E">
      <w:numFmt w:val="decimal"/>
      <w:lvlText w:val=""/>
      <w:lvlJc w:val="left"/>
    </w:lvl>
    <w:lvl w:ilvl="8" w:tplc="1522FDE0">
      <w:numFmt w:val="decimal"/>
      <w:lvlText w:val=""/>
      <w:lvlJc w:val="left"/>
    </w:lvl>
  </w:abstractNum>
  <w:num w:numId="1" w16cid:durableId="2038313440">
    <w:abstractNumId w:val="0"/>
    <w:lvlOverride w:ilvl="0">
      <w:startOverride w:val="1"/>
    </w:lvlOverride>
  </w:num>
  <w:num w:numId="2" w16cid:durableId="5431740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6DE9"/>
    <w:rsid w:val="003C4952"/>
    <w:rsid w:val="009708F5"/>
    <w:rsid w:val="00C56DE9"/>
    <w:rsid w:val="00D53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8EE0CF"/>
  <w15:docId w15:val="{C30808DF-5205-7942-9883-B905FAF16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1575</Words>
  <Characters>8980</Characters>
  <Application>Microsoft Office Word</Application>
  <DocSecurity>0</DocSecurity>
  <Lines>74</Lines>
  <Paragraphs>21</Paragraphs>
  <ScaleCrop>false</ScaleCrop>
  <Company/>
  <LinksUpToDate>false</LinksUpToDate>
  <CharactersWithSpaces>10534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Arjun Bahl</cp:lastModifiedBy>
  <cp:revision>2</cp:revision>
  <dcterms:created xsi:type="dcterms:W3CDTF">2026-08-05T20:53:00Z</dcterms:created>
  <dcterms:modified xsi:type="dcterms:W3CDTF">2026-08-05T20:53:00Z</dcterms:modified>
</cp:coreProperties>
</file>