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Functional Requirements Document — PROJECT_GAMMA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2026-01-10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Initial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2026-02-01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Reviewed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LOB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In Scope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REGION_B</w:t>
            </w:r>
          </w:p>
        </w:tc>
        <w:tc>
          <w:p>
            <w:r>
              <w:t xml:space="preserve">Y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ACD Type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Files arrive complete</w:t>
            </w:r>
          </w:p>
        </w:tc>
        <w:tc>
          <w:p>
            <w:r>
              <w:t xml:space="preserve">VC files files arrive as complete drops.</w:t>
            </w:r>
          </w:p>
        </w:tc>
      </w:tr>
      <w:tr>
        <w:tc>
          <w:p>
            <w:r>
              <w:t xml:space="preserve">Constraint</w:t>
            </w:r>
          </w:p>
        </w:tc>
        <w:tc>
          <w:p>
            <w:r>
              <w:t xml:space="preserve">No transformation</w:t>
            </w:r>
          </w:p>
        </w:tc>
        <w:tc>
          <w:p>
            <w:r>
              <w:t xml:space="preserve">Stage loads the file as-is.</w:t>
            </w:r>
          </w:p>
        </w:tc>
      </w:tr>
      <w:tr>
        <w:tc>
          <w:p>
            <w:r>
              <w:t xml:space="preserve">Dependency</w:t>
            </w:r>
          </w:p>
        </w:tc>
        <w:tc>
          <w:p>
            <w:r>
              <w:t xml:space="preserve">Source dictionary</w:t>
            </w:r>
          </w:p>
        </w:tc>
        <w:tc>
          <w:p>
            <w:r>
              <w:t xml:space="preserve">The vendor data dictionary is current.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Stakeholder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SYN Owner</w:t>
            </w:r>
          </w:p>
        </w:tc>
        <w:tc>
          <w:p>
            <w:r>
              <w:t xml:space="preserve">Business Owner</w:t>
            </w:r>
          </w:p>
        </w:tc>
      </w:tr>
      <w:tr>
        <w:tc>
          <w:p>
            <w:r>
              <w:t xml:space="preserve">SYN Lead</w:t>
            </w:r>
          </w:p>
        </w:tc>
        <w:tc>
          <w:p>
            <w:r>
              <w:t xml:space="preserve">Technical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Descriptive Metadata: MDD000011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Descriptive Metadata</w:t>
            </w:r>
          </w:p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The FRD is developed to ingest the region's monthly Enrollment,</w:t>
            </w:r>
            <w:r>
              <w:br/>
            </w:r>
            <w:r>
              <w:t xml:space="preserve">Disenrollment &amp; Individual Risk reports from the VC vendor.</w:t>
            </w:r>
          </w:p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Vendor Files = Enrollment, Disenrollment &amp; </w:t>
            </w:r>
            <w:r>
              <w:br/>
            </w:r>
            <w:r>
              <w:t xml:space="preserve">Individual Risk Reports</w:t>
            </w:r>
          </w:p>
        </w:tc>
      </w:tr>
      <w:tr>
        <w:tc>
          <w:p/>
        </w:tc>
        <w:tc>
          <w:p>
            <w:r>
              <w:t xml:space="preserve">Object Name</w:t>
            </w:r>
          </w:p>
        </w:tc>
        <w:tc>
          <w:tbl>
            <w:tblPr>
              <w:tblStyle w:val="TableGrid"/>
              <w:tblW w:w="0" w:type="auto"/>
            </w:tblPr>
            <w:tblGrid>
              <w:gridCol w:w="2400"/>
              <w:gridCol w:w="2400"/>
              <w:gridCol w:w="2400"/>
              <w:gridCol w:w="2400"/>
              <w:gridCol w:w="2400"/>
            </w:tblGrid>
            <w:tr>
              <w:tc>
                <w:p>
                  <w:r>
                    <w:t xml:space="preserve">Vendor</w:t>
                  </w:r>
                </w:p>
              </w:tc>
              <w:tc>
                <w:p>
                  <w:r>
                    <w:t xml:space="preserve">INB/OUB</w:t>
                  </w:r>
                </w:p>
              </w:tc>
              <w:tc>
                <w:p>
                  <w:r>
                    <w:t xml:space="preserve">FileName</w:t>
                  </w:r>
                </w:p>
              </w:tc>
              <w:tc>
                <w:p>
                  <w:r>
                    <w:t xml:space="preserve">FileName</w:t>
                  </w:r>
                </w:p>
              </w:tc>
              <w:tc>
                <w:p>
                  <w:r>
                    <w:t xml:space="preserve">Vendor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enrollment_package_YYYY_MM.csv</w:t>
                  </w:r>
                </w:p>
              </w:tc>
              <w:tc>
                <w:p>
                  <w:r>
                    <w:t xml:space="preserve">Enrollment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disenrollment_package_YYYY_MM.csv</w:t>
                  </w:r>
                </w:p>
              </w:tc>
              <w:tc>
                <w:p>
                  <w:r>
                    <w:t xml:space="preserve">Disenrollment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vc_ind_risk_data_package_REGION_A_YYYYMMDD_HHMM.psv</w:t>
                  </w:r>
                </w:p>
              </w:tc>
              <w:tc>
                <w:p>
                  <w:r>
                    <w:t xml:space="preserve">Individual Risk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</w:tbl>
          <w:p/>
        </w:tc>
      </w:tr>
      <w:tr>
        <w:tc>
          <w:p/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/>
        </w:tc>
        <w:tc>
          <w:p>
            <w:r>
              <w:t xml:space="preserve">Frequency</w:t>
            </w:r>
          </w:p>
        </w:tc>
        <w:tc>
          <w:p>
            <w:r>
              <w:t xml:space="preserve">Please refer to the File Details tab of the mapping document attached in </w:t>
            </w:r>
            <w:r>
              <w:br/>
            </w:r>
            <w:r>
              <w:t xml:space="preserve">the appendix section.</w:t>
            </w:r>
          </w:p>
        </w:tc>
      </w:tr>
      <w:tr>
        <w:tc>
          <w:p/>
        </w:tc>
        <w:tc>
          <w:p>
            <w:r>
              <w:t xml:space="preserve">LOBs</w:t>
            </w:r>
          </w:p>
        </w:tc>
        <w:tc>
          <w:p>
            <w:r>
              <w:t xml:space="preserve">LOB_A</w:t>
            </w:r>
          </w:p>
        </w:tc>
      </w:tr>
      <w:tr>
        <w:tc>
          <w:p/>
        </w:tc>
        <w:tc>
          <w:p>
            <w:r>
              <w:t xml:space="preserve">Tags/Keywords</w:t>
            </w:r>
          </w:p>
        </w:tc>
        <w:tc>
          <w:p/>
        </w:tc>
      </w:tr>
      <w:tr>
        <w:tc>
          <w:p/>
        </w:tc>
        <w:tc>
          <w:p>
            <w:r>
              <w:t xml:space="preserve">Government Program</w:t>
            </w:r>
          </w:p>
        </w:tc>
        <w:tc>
          <w:p>
            <w:r>
              <w:t xml:space="preserve">Y</w:t>
            </w:r>
          </w:p>
        </w:tc>
      </w:tr>
      <w:tr>
        <w:tc>
          <w:p/>
        </w:tc>
        <w:tc>
          <w:p>
            <w:r>
              <w:t xml:space="preserve">Inbound Ingestion</w:t>
            </w:r>
          </w:p>
        </w:tc>
        <w:tc>
          <w:p>
            <w:r>
              <w:t xml:space="preserve">Yes</w:t>
            </w:r>
          </w:p>
        </w:tc>
      </w:tr>
      <w:tr>
        <w:tc>
          <w:p/>
        </w:tc>
        <w:tc>
          <w:p>
            <w:r>
              <w:t xml:space="preserve">SFG template (Y/N)</w:t>
            </w:r>
          </w:p>
        </w:tc>
        <w:tc>
          <w:p>
            <w:r>
              <w:t xml:space="preserve">Yes</w:t>
            </w:r>
          </w:p>
        </w:tc>
      </w:tr>
      <w:tr>
        <w:tc>
          <w:p/>
        </w:tc>
        <w:tc>
          <w:p>
            <w:r>
              <w:t xml:space="preserve">SR# for SFG Template</w:t>
            </w:r>
          </w:p>
        </w:tc>
        <w:tc>
          <w:p>
            <w:r>
              <w:t xml:space="preserve">&lt;TBD&gt;</w:t>
            </w:r>
          </w:p>
        </w:tc>
      </w:tr>
      <w:tr>
        <w:tc>
          <w:p/>
        </w:tc>
        <w:tc>
          <w:p>
            <w:r>
              <w:t xml:space="preserve">Data Catalog Entry</w:t>
            </w:r>
          </w:p>
        </w:tc>
        <w:tc>
          <w:p>
            <w:r>
              <w:t xml:space="preserve">&lt;TBD&gt;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Structural Metadata: MDST000011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Structural Metadata</w:t>
            </w:r>
          </w:p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The vendor shall provide the data in files brought to the raw layer of ADLS.</w:t>
            </w:r>
          </w:p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File Data Ingestion</w:t>
            </w:r>
          </w:p>
        </w:tc>
      </w:tr>
      <w:tr>
        <w:tc>
          <w:p/>
        </w:tc>
        <w:tc>
          <w:p>
            <w:r>
              <w:t xml:space="preserve">Target Schema</w:t>
            </w:r>
          </w:p>
        </w:tc>
        <w:tc>
          <w:p>
            <w:r>
              <w:t xml:space="preserve">stg_dom_a/dom_a – Enrollment &amp; Disenrollment File</w:t>
            </w:r>
            <w:r>
              <w:br/>
            </w:r>
            <w:r>
              <w:t xml:space="preserve">stg_dom_b/dom_b – Individual Risk File</w:t>
            </w:r>
          </w:p>
        </w:tc>
      </w:tr>
      <w:tr>
        <w:tc>
          <w:p/>
        </w:tc>
        <w:tc>
          <w:p>
            <w:r>
              <w:t xml:space="preserve">Target Table Name</w:t>
            </w:r>
          </w:p>
        </w:tc>
        <w:tc>
          <w:p>
            <w:r>
              <w:t xml:space="preserve">enrollment_package_YYYY_MM.csv</w:t>
            </w:r>
            <w:r>
              <w:br/>
            </w:r>
            <w:r>
              <w:t xml:space="preserve">disenrollment_package_YYYY_MM.csv</w:t>
            </w:r>
            <w:r>
              <w:br/>
            </w:r>
            <w:r>
              <w:t xml:space="preserve">vc_ind_risk_data_package_REGION_A_YYYYMMDD_HHMM.psv</w:t>
            </w:r>
          </w:p>
        </w:tc>
      </w:tr>
      <w:tr>
        <w:tc>
          <w:p/>
        </w:tc>
        <w:tc>
          <w:p>
            <w:r>
              <w:t xml:space="preserve">Domain and Subdomain</w:t>
            </w:r>
          </w:p>
        </w:tc>
        <w:tc>
          <w:p>
            <w:r>
              <w:t xml:space="preserve">Enrollment file Ingestion from VC:</w:t>
            </w:r>
            <w:r>
              <w:br/>
            </w:r>
            <w:r>
              <w:t xml:space="preserve">Domain = Domain Alpha</w:t>
            </w:r>
            <w:r>
              <w:br/>
            </w:r>
            <w:r>
              <w:t xml:space="preserve">Subdomain = Public</w:t>
            </w:r>
            <w:r>
              <w:br/>
            </w:r>
            <w:r>
              <w:br/>
            </w:r>
            <w:r>
              <w:t xml:space="preserve">Disenrollment file Ingestion from VC:</w:t>
            </w:r>
            <w:r>
              <w:br/>
            </w:r>
            <w:r>
              <w:t xml:space="preserve">Domain = Domain Alpha</w:t>
            </w:r>
            <w:r>
              <w:br/>
            </w:r>
            <w:r>
              <w:t xml:space="preserve">Subdomain = Public</w:t>
            </w:r>
            <w:r>
              <w:br/>
            </w:r>
            <w:r>
              <w:br/>
            </w:r>
            <w:r>
              <w:t xml:space="preserve">Individual Risk file Ingestion from VC:</w:t>
            </w:r>
            <w:r>
              <w:br/>
            </w:r>
            <w:r>
              <w:t xml:space="preserve">Domain = Domain Beta</w:t>
            </w:r>
            <w:r>
              <w:br/>
            </w:r>
            <w:r>
              <w:t xml:space="preserve">Subdomain = Domain Alpha</w:t>
            </w:r>
          </w:p>
        </w:tc>
      </w:tr>
      <w:tr>
        <w:tc>
          <w:p/>
        </w:tc>
        <w:tc>
          <w:p>
            <w:r>
              <w:t xml:space="preserve">Load Strategy STG</w:t>
            </w:r>
          </w:p>
        </w:tc>
        <w:tc>
          <w:p>
            <w:r>
              <w:t xml:space="preserve">Truncate and Load</w:t>
            </w:r>
          </w:p>
        </w:tc>
      </w:tr>
      <w:tr>
        <w:tc>
          <w:p/>
        </w:tc>
        <w:tc>
          <w:p>
            <w:r>
              <w:t xml:space="preserve">Load Strategy STD</w:t>
            </w:r>
          </w:p>
        </w:tc>
        <w:tc>
          <w:p>
            <w:r>
              <w:t xml:space="preserve">Append</w:t>
            </w:r>
          </w:p>
        </w:tc>
      </w:tr>
      <w:tr>
        <w:tc>
          <w:p/>
        </w:tc>
        <w:tc>
          <w:p>
            <w:r>
              <w:t xml:space="preserve">Load Strategy Consumption (EDH, BSL)</w:t>
            </w:r>
          </w:p>
        </w:tc>
        <w:tc>
          <w:p/>
        </w:tc>
      </w:tr>
      <w:tr>
        <w:tc>
          <w:p/>
        </w:tc>
        <w:tc>
          <w:p>
            <w:r>
              <w:t xml:space="preserve">Archive Schedule</w:t>
            </w:r>
          </w:p>
        </w:tc>
        <w:tc>
          <w:p/>
        </w:tc>
      </w:tr>
      <w:tr>
        <w:tc>
          <w:p/>
        </w:tc>
        <w:tc>
          <w:p>
            <w:r>
              <w:t xml:space="preserve">Source Data Dictionary</w:t>
            </w:r>
          </w:p>
        </w:tc>
        <w:tc>
          <w:p>
            <w:r>
              <w:t xml:space="preserve">File and field descriptions are mentioned in the mapping document.</w:t>
            </w:r>
          </w:p>
        </w:tc>
      </w:tr>
      <w:tr>
        <w:tc>
          <w:p/>
        </w:tc>
        <w:tc>
          <w:p>
            <w:r>
              <w:t xml:space="preserve">ADLS Location</w:t>
            </w:r>
          </w:p>
        </w:tc>
        <w:tc>
          <w:tbl>
            <w:tblPr>
              <w:tblStyle w:val="TableGrid"/>
              <w:tblW w:w="0" w:type="auto"/>
            </w:tblPr>
            <w:tblGrid>
              <w:gridCol w:w="2400"/>
              <w:gridCol w:w="2400"/>
            </w:tblGrid>
            <w:tr>
              <w:tc>
                <w:p>
                  <w:r>
                    <w:t xml:space="preserve">File_Name</w:t>
                  </w:r>
                </w:p>
              </w:tc>
              <w:tc>
                <w:p>
                  <w:r>
                    <w:t xml:space="preserve">mftlanding path</w:t>
                  </w:r>
                </w:p>
              </w:tc>
            </w:tr>
            <w:tr>
              <w:tc>
                <w:p>
                  <w:r>
                    <w:t xml:space="preserve">Enrollment</w:t>
                  </w:r>
                </w:p>
              </w:tc>
              <w:tc>
                <w:p>
                  <w:r>
                    <w:t xml:space="preserve">mftlanding\inbound\dom_a\public\vendor_c</w:t>
                  </w:r>
                </w:p>
              </w:tc>
            </w:tr>
            <w:tr>
              <w:tc>
                <w:p>
                  <w:r>
                    <w:t xml:space="preserve">Disenrollment</w:t>
                  </w:r>
                </w:p>
              </w:tc>
              <w:tc>
                <w:p>
                  <w:r>
                    <w:t xml:space="preserve">mftlanding\inbound\dom_a\public\vendor_c</w:t>
                  </w:r>
                </w:p>
              </w:tc>
            </w:tr>
            <w:tr>
              <w:tc>
                <w:p>
                  <w:r>
                    <w:t xml:space="preserve">Individual Risk</w:t>
                  </w:r>
                </w:p>
              </w:tc>
              <w:tc>
                <w:p>
                  <w:r>
                    <w:t xml:space="preserve">mftlanding\inbound\dom_b\dom_a\vendor_c</w:t>
                  </w:r>
                </w:p>
              </w:tc>
            </w:tr>
          </w:tbl>
          <w:p/>
        </w:tc>
      </w:tr>
      <w:tr>
        <w:tc>
          <w:p/>
        </w:tc>
        <w:tc>
          <w:p>
            <w:r>
              <w:t xml:space="preserve">Inbound/outbound File Folder Path</w:t>
            </w:r>
          </w:p>
        </w:tc>
        <w:tc>
          <w:p>
            <w:r>
              <w:t xml:space="preserve">Inbound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Technical Metadata: MDT000011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Technical Metadata</w:t>
            </w:r>
          </w:p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Rules</w:t>
            </w:r>
          </w:p>
        </w:tc>
        <w:tc>
          <w:p>
            <w:r>
              <w:t xml:space="preserve">Data Quality Rules Provided in the Mapping document.</w:t>
            </w:r>
          </w:p>
        </w:tc>
      </w:tr>
      <w:tr>
        <w:tc>
          <w:p/>
        </w:tc>
        <w:tc>
          <w:p>
            <w:r>
              <w:t xml:space="preserve">Filter Criteria</w:t>
            </w:r>
          </w:p>
        </w:tc>
        <w:tc>
          <w:p/>
        </w:tc>
      </w:tr>
      <w:tr>
        <w:tc>
          <w:p/>
        </w:tc>
        <w:tc>
          <w:p>
            <w:r>
              <w:t xml:space="preserve">PII Fields</w:t>
            </w:r>
          </w:p>
        </w:tc>
        <w:tc>
          <w:p>
            <w:r>
              <w:t xml:space="preserve">Included in the Mapping Document</w:t>
            </w:r>
          </w:p>
        </w:tc>
      </w:tr>
      <w:tr>
        <w:tc>
          <w:p/>
        </w:tc>
        <w:tc>
          <w:p>
            <w:r>
              <w:t xml:space="preserve">Transformation Logic</w:t>
            </w:r>
          </w:p>
        </w:tc>
        <w:tc>
          <w:p>
            <w:r>
              <w:t xml:space="preserve">NA</w:t>
            </w:r>
          </w:p>
        </w:tc>
      </w:tr>
      <w:tr>
        <w:tc>
          <w:p/>
        </w:tc>
        <w:tc>
          <w:p>
            <w:r>
              <w:t xml:space="preserve">Primary Key</w:t>
            </w:r>
          </w:p>
        </w:tc>
        <w:tc>
          <w:p>
            <w:r>
              <w:t xml:space="preserve">NA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Vendor Metadata: MDV000011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Vendor Metadata</w:t>
            </w:r>
          </w:p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VENDOR_C – VC 00000</w:t>
            </w:r>
          </w:p>
        </w:tc>
      </w:tr>
      <w:tr>
        <w:tc>
          <w:p/>
        </w:tc>
        <w:tc>
          <w:p>
            <w:r>
              <w:t xml:space="preserve">Vendor Abbreviation</w:t>
            </w:r>
          </w:p>
        </w:tc>
        <w:tc>
          <w:p>
            <w:r>
              <w:t xml:space="preserve">VC – Vendor C</w:t>
            </w:r>
          </w:p>
        </w:tc>
      </w:tr>
      <w:tr>
        <w:tc>
          <w:p/>
        </w:tc>
        <w:tc>
          <w:p>
            <w:r>
              <w:t xml:space="preserve">Service Grouping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Ingest VC files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Requirement</w:t>
            </w:r>
          </w:p>
        </w:tc>
        <w:tc>
          <w:p>
            <w:r>
              <w:t xml:space="preserve">Land VC files files in the lakehouse.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</w:t>
            </w:r>
          </w:p>
        </w:tc>
        <w:tc>
          <w:p>
            <w:r>
              <w:t xml:space="preserve">Load stage then standard.</w:t>
            </w:r>
          </w:p>
        </w:tc>
        <w:tc>
          <w:p/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Approver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SYN Approver</w:t>
            </w:r>
          </w:p>
        </w:tc>
        <w:tc>
          <w:p>
            <w:r>
              <w:t xml:space="preserve">Data Governance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t xml:space="preserve">STG</w:t>
            </w:r>
          </w:p>
        </w:tc>
        <w:tc>
          <w:p>
            <w:r>
              <w:t xml:space="preserve">Stage layer</w:t>
            </w:r>
          </w:p>
        </w:tc>
      </w:tr>
      <w:tr>
        <w:tc>
          <w:p>
            <w:r>
              <w:t xml:space="preserve">STD</w:t>
            </w:r>
          </w:p>
        </w:tc>
        <w:tc>
          <w:p>
            <w:r>
              <w:t xml:space="preserve">Standard layer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Reference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STTM</w:t>
            </w:r>
          </w:p>
        </w:tc>
        <w:tc>
          <w:p>
            <w:r>
              <w:t xml:space="preserve">VC files STTM workbook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