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CYBERSECURITY 60-DAY CHALLENGE</w:t>
      </w:r>
    </w:p>
    <w:p>
      <w:pPr>
        <w:jc w:val="center"/>
      </w:pPr>
      <w:r>
        <w:rPr>
          <w:b/>
          <w:sz w:val="32"/>
        </w:rPr>
        <w:t>Task 2 — Network Security &amp; Scanning</w:t>
      </w:r>
    </w:p>
    <w:p>
      <w:pPr>
        <w:jc w:val="center"/>
      </w:pPr>
      <w:r>
        <w:rPr>
          <w:i/>
        </w:rPr>
        <w:t>Days 13–24 | Practical Lab Report</w:t>
      </w:r>
    </w:p>
    <w:p>
      <w:pPr>
        <w:pStyle w:val="Heading1"/>
      </w:pPr>
      <w:r>
        <w:t>1. Objective</w:t>
      </w:r>
    </w:p>
    <w:p>
      <w:r>
        <w:t>The objective of Task 2 is to learn reconnaissance, network scanning, vulnerability scanning, packet analysis and basic firewall controls in an isolated cybersecurity training environment.</w:t>
      </w:r>
    </w:p>
    <w:p>
      <w:pPr>
        <w:pStyle w:val="Heading1"/>
      </w:pPr>
      <w:r>
        <w:t>2. Lab Scope and Target</w:t>
      </w:r>
    </w:p>
    <w:tbl>
      <w:tblPr>
        <w:tblW w:type="auto" w:w="0"/>
        <w:jc w:val="center"/>
        <w:tblLook w:firstColumn="1" w:firstRow="1" w:lastColumn="0" w:lastRow="0" w:noHBand="0" w:noVBand="1" w:val="04A0"/>
      </w:tblPr>
      <w:tblGrid>
        <w:gridCol w:w="5112"/>
        <w:gridCol w:w="5112"/>
      </w:tblGrid>
      <w:tr>
        <w:tc>
          <w:tcPr>
            <w:tcW w:type="dxa" w:w="5112"/>
          </w:tcPr>
          <w:p>
            <w:r>
              <w:t>Testing machine</w:t>
            </w:r>
          </w:p>
        </w:tc>
        <w:tc>
          <w:tcPr>
            <w:tcW w:type="dxa" w:w="5112"/>
          </w:tcPr>
          <w:p>
            <w:r>
              <w:t>Kali Linux</w:t>
            </w:r>
          </w:p>
        </w:tc>
      </w:tr>
      <w:tr>
        <w:tc>
          <w:tcPr>
            <w:tcW w:type="dxa" w:w="5112"/>
          </w:tcPr>
          <w:p>
            <w:r>
              <w:t>Target</w:t>
            </w:r>
          </w:p>
        </w:tc>
        <w:tc>
          <w:tcPr>
            <w:tcW w:type="dxa" w:w="5112"/>
          </w:tcPr>
          <w:p>
            <w:r>
              <w:t>Metasploitable2</w:t>
            </w:r>
          </w:p>
        </w:tc>
      </w:tr>
      <w:tr>
        <w:tc>
          <w:tcPr>
            <w:tcW w:type="dxa" w:w="5112"/>
          </w:tcPr>
          <w:p>
            <w:r>
              <w:t>Target IP</w:t>
            </w:r>
          </w:p>
        </w:tc>
        <w:tc>
          <w:tcPr>
            <w:tcW w:type="dxa" w:w="5112"/>
          </w:tcPr>
          <w:p>
            <w:r>
              <w:t>192.168.56.102</w:t>
            </w:r>
          </w:p>
        </w:tc>
      </w:tr>
      <w:tr>
        <w:tc>
          <w:tcPr>
            <w:tcW w:type="dxa" w:w="5112"/>
          </w:tcPr>
          <w:p>
            <w:r>
              <w:t>Network</w:t>
            </w:r>
          </w:p>
        </w:tc>
        <w:tc>
          <w:tcPr>
            <w:tcW w:type="dxa" w:w="5112"/>
          </w:tcPr>
          <w:p>
            <w:r>
              <w:t>VirtualBox Host-Only isolated lab</w:t>
            </w:r>
          </w:p>
        </w:tc>
      </w:tr>
      <w:tr>
        <w:tc>
          <w:tcPr>
            <w:tcW w:type="dxa" w:w="5112"/>
          </w:tcPr>
          <w:p>
            <w:r>
              <w:t>Vulnerability scanner</w:t>
            </w:r>
          </w:p>
        </w:tc>
        <w:tc>
          <w:tcPr>
            <w:tcW w:type="dxa" w:w="5112"/>
          </w:tcPr>
          <w:p>
            <w:r>
              <w:t>OpenVAS / OpenVAS Default</w:t>
            </w:r>
          </w:p>
        </w:tc>
      </w:tr>
    </w:tbl>
    <w:p>
      <w:pPr>
        <w:pStyle w:val="Heading1"/>
      </w:pPr>
      <w:r>
        <w:t>3. Required Activities</w:t>
      </w:r>
    </w:p>
    <w:p>
      <w:pPr>
        <w:pStyle w:val="ListBullet"/>
      </w:pPr>
      <w:r>
        <w:t>Reconnaissance: Whois, Nslookup, Google Dorking, Shodan, ping sweep and banner grabbing.</w:t>
      </w:r>
    </w:p>
    <w:p>
      <w:pPr>
        <w:pStyle w:val="ListBullet"/>
      </w:pPr>
      <w:r>
        <w:t>Nmap TCP/UDP scanning, service detection, OS detection and scan reporting.</w:t>
      </w:r>
    </w:p>
    <w:p>
      <w:pPr>
        <w:pStyle w:val="ListBullet"/>
      </w:pPr>
      <w:r>
        <w:t>OpenVAS or Nessus vulnerability scanning and severity analysis.</w:t>
      </w:r>
    </w:p>
    <w:p>
      <w:pPr>
        <w:pStyle w:val="ListBullet"/>
      </w:pPr>
      <w:r>
        <w:t>Wireshark packet analysis for HTTP, FTP and DNS traffic, including unencrypted FTP credential observation and SYN-flood analysis in the lab.</w:t>
      </w:r>
    </w:p>
    <w:p>
      <w:pPr>
        <w:pStyle w:val="ListBullet"/>
      </w:pPr>
      <w:r>
        <w:t>Basic iptables allow/deny rules and a demonstration of blocking a scan.</w:t>
      </w:r>
    </w:p>
    <w:p>
      <w:pPr>
        <w:pStyle w:val="Heading1"/>
      </w:pPr>
      <w:r>
        <w:t>4. Nmap Scan Results</w:t>
      </w:r>
    </w:p>
    <w:p>
      <w:r>
        <w:t>The verified lab service scan identified 23 open TCP services on Metasploitable2. The following table records the observed service surface.</w:t>
      </w:r>
    </w:p>
    <w:tbl>
      <w:tblPr>
        <w:tblStyle w:val="TableGrid"/>
        <w:tblW w:type="auto" w:w="0"/>
        <w:tblLook w:firstColumn="1" w:firstRow="1" w:lastColumn="0" w:lastRow="0" w:noHBand="0" w:noVBand="1" w:val="04A0"/>
      </w:tblPr>
      <w:tblGrid>
        <w:gridCol w:w="5112"/>
        <w:gridCol w:w="5112"/>
      </w:tblGrid>
      <w:tr>
        <w:tc>
          <w:tcPr>
            <w:tcW w:type="dxa" w:w="5112"/>
          </w:tcPr>
          <w:p>
            <w:r>
              <w:t>Port</w:t>
            </w:r>
          </w:p>
        </w:tc>
        <w:tc>
          <w:tcPr>
            <w:tcW w:type="dxa" w:w="5112"/>
          </w:tcPr>
          <w:p>
            <w:r>
              <w:t>Service</w:t>
            </w:r>
          </w:p>
        </w:tc>
      </w:tr>
      <w:tr>
        <w:tc>
          <w:tcPr>
            <w:tcW w:type="dxa" w:w="5112"/>
          </w:tcPr>
          <w:p>
            <w:r>
              <w:t>21/tcp</w:t>
            </w:r>
          </w:p>
        </w:tc>
        <w:tc>
          <w:tcPr>
            <w:tcW w:type="dxa" w:w="5112"/>
          </w:tcPr>
          <w:p>
            <w:r>
              <w:t>FTP</w:t>
            </w:r>
          </w:p>
        </w:tc>
      </w:tr>
      <w:tr>
        <w:tc>
          <w:tcPr>
            <w:tcW w:type="dxa" w:w="5112"/>
          </w:tcPr>
          <w:p>
            <w:r>
              <w:t>22/tcp</w:t>
            </w:r>
          </w:p>
        </w:tc>
        <w:tc>
          <w:tcPr>
            <w:tcW w:type="dxa" w:w="5112"/>
          </w:tcPr>
          <w:p>
            <w:r>
              <w:t>SSH</w:t>
            </w:r>
          </w:p>
        </w:tc>
      </w:tr>
      <w:tr>
        <w:tc>
          <w:tcPr>
            <w:tcW w:type="dxa" w:w="5112"/>
          </w:tcPr>
          <w:p>
            <w:r>
              <w:t>23/tcp</w:t>
            </w:r>
          </w:p>
        </w:tc>
        <w:tc>
          <w:tcPr>
            <w:tcW w:type="dxa" w:w="5112"/>
          </w:tcPr>
          <w:p>
            <w:r>
              <w:t>Telnet</w:t>
            </w:r>
          </w:p>
        </w:tc>
      </w:tr>
      <w:tr>
        <w:tc>
          <w:tcPr>
            <w:tcW w:type="dxa" w:w="5112"/>
          </w:tcPr>
          <w:p>
            <w:r>
              <w:t>25/tcp</w:t>
            </w:r>
          </w:p>
        </w:tc>
        <w:tc>
          <w:tcPr>
            <w:tcW w:type="dxa" w:w="5112"/>
          </w:tcPr>
          <w:p>
            <w:r>
              <w:t>SMTP</w:t>
            </w:r>
          </w:p>
        </w:tc>
      </w:tr>
      <w:tr>
        <w:tc>
          <w:tcPr>
            <w:tcW w:type="dxa" w:w="5112"/>
          </w:tcPr>
          <w:p>
            <w:r>
              <w:t>53/tcp</w:t>
            </w:r>
          </w:p>
        </w:tc>
        <w:tc>
          <w:tcPr>
            <w:tcW w:type="dxa" w:w="5112"/>
          </w:tcPr>
          <w:p>
            <w:r>
              <w:t>DNS</w:t>
            </w:r>
          </w:p>
        </w:tc>
      </w:tr>
      <w:tr>
        <w:tc>
          <w:tcPr>
            <w:tcW w:type="dxa" w:w="5112"/>
          </w:tcPr>
          <w:p>
            <w:r>
              <w:t>80/tcp</w:t>
            </w:r>
          </w:p>
        </w:tc>
        <w:tc>
          <w:tcPr>
            <w:tcW w:type="dxa" w:w="5112"/>
          </w:tcPr>
          <w:p>
            <w:r>
              <w:t>HTTP</w:t>
            </w:r>
          </w:p>
        </w:tc>
      </w:tr>
      <w:tr>
        <w:tc>
          <w:tcPr>
            <w:tcW w:type="dxa" w:w="5112"/>
          </w:tcPr>
          <w:p>
            <w:r>
              <w:t>111/tcp</w:t>
            </w:r>
          </w:p>
        </w:tc>
        <w:tc>
          <w:tcPr>
            <w:tcW w:type="dxa" w:w="5112"/>
          </w:tcPr>
          <w:p>
            <w:r>
              <w:t>RPCbind</w:t>
            </w:r>
          </w:p>
        </w:tc>
      </w:tr>
      <w:tr>
        <w:tc>
          <w:tcPr>
            <w:tcW w:type="dxa" w:w="5112"/>
          </w:tcPr>
          <w:p>
            <w:r>
              <w:t>139/tcp</w:t>
            </w:r>
          </w:p>
        </w:tc>
        <w:tc>
          <w:tcPr>
            <w:tcW w:type="dxa" w:w="5112"/>
          </w:tcPr>
          <w:p>
            <w:r>
              <w:t>NetBIOS-SSN</w:t>
            </w:r>
          </w:p>
        </w:tc>
      </w:tr>
      <w:tr>
        <w:tc>
          <w:tcPr>
            <w:tcW w:type="dxa" w:w="5112"/>
          </w:tcPr>
          <w:p>
            <w:r>
              <w:t>445/tcp</w:t>
            </w:r>
          </w:p>
        </w:tc>
        <w:tc>
          <w:tcPr>
            <w:tcW w:type="dxa" w:w="5112"/>
          </w:tcPr>
          <w:p>
            <w:r>
              <w:t>Microsoft-DS/SMB</w:t>
            </w:r>
          </w:p>
        </w:tc>
      </w:tr>
      <w:tr>
        <w:tc>
          <w:tcPr>
            <w:tcW w:type="dxa" w:w="5112"/>
          </w:tcPr>
          <w:p>
            <w:r>
              <w:t>512/tcp</w:t>
            </w:r>
          </w:p>
        </w:tc>
        <w:tc>
          <w:tcPr>
            <w:tcW w:type="dxa" w:w="5112"/>
          </w:tcPr>
          <w:p>
            <w:r>
              <w:t>exec</w:t>
            </w:r>
          </w:p>
        </w:tc>
      </w:tr>
      <w:tr>
        <w:tc>
          <w:tcPr>
            <w:tcW w:type="dxa" w:w="5112"/>
          </w:tcPr>
          <w:p>
            <w:r>
              <w:t>513/tcp</w:t>
            </w:r>
          </w:p>
        </w:tc>
        <w:tc>
          <w:tcPr>
            <w:tcW w:type="dxa" w:w="5112"/>
          </w:tcPr>
          <w:p>
            <w:r>
              <w:t>login</w:t>
            </w:r>
          </w:p>
        </w:tc>
      </w:tr>
      <w:tr>
        <w:tc>
          <w:tcPr>
            <w:tcW w:type="dxa" w:w="5112"/>
          </w:tcPr>
          <w:p>
            <w:r>
              <w:t>514/tcp</w:t>
            </w:r>
          </w:p>
        </w:tc>
        <w:tc>
          <w:tcPr>
            <w:tcW w:type="dxa" w:w="5112"/>
          </w:tcPr>
          <w:p>
            <w:r>
              <w:t>shell</w:t>
            </w:r>
          </w:p>
        </w:tc>
      </w:tr>
      <w:tr>
        <w:tc>
          <w:tcPr>
            <w:tcW w:type="dxa" w:w="5112"/>
          </w:tcPr>
          <w:p>
            <w:r>
              <w:t>1099/tcp</w:t>
            </w:r>
          </w:p>
        </w:tc>
        <w:tc>
          <w:tcPr>
            <w:tcW w:type="dxa" w:w="5112"/>
          </w:tcPr>
          <w:p>
            <w:r>
              <w:t>Java RMI</w:t>
            </w:r>
          </w:p>
        </w:tc>
      </w:tr>
      <w:tr>
        <w:tc>
          <w:tcPr>
            <w:tcW w:type="dxa" w:w="5112"/>
          </w:tcPr>
          <w:p>
            <w:r>
              <w:t>1524/tcp</w:t>
            </w:r>
          </w:p>
        </w:tc>
        <w:tc>
          <w:tcPr>
            <w:tcW w:type="dxa" w:w="5112"/>
          </w:tcPr>
          <w:p>
            <w:r>
              <w:t>Ingreslock</w:t>
            </w:r>
          </w:p>
        </w:tc>
      </w:tr>
      <w:tr>
        <w:tc>
          <w:tcPr>
            <w:tcW w:type="dxa" w:w="5112"/>
          </w:tcPr>
          <w:p>
            <w:r>
              <w:t>2049/tcp</w:t>
            </w:r>
          </w:p>
        </w:tc>
        <w:tc>
          <w:tcPr>
            <w:tcW w:type="dxa" w:w="5112"/>
          </w:tcPr>
          <w:p>
            <w:r>
              <w:t>NFS</w:t>
            </w:r>
          </w:p>
        </w:tc>
      </w:tr>
      <w:tr>
        <w:tc>
          <w:tcPr>
            <w:tcW w:type="dxa" w:w="5112"/>
          </w:tcPr>
          <w:p>
            <w:r>
              <w:t>2121/tcp</w:t>
            </w:r>
          </w:p>
        </w:tc>
        <w:tc>
          <w:tcPr>
            <w:tcW w:type="dxa" w:w="5112"/>
          </w:tcPr>
          <w:p>
            <w:r>
              <w:t>FTP proxy</w:t>
            </w:r>
          </w:p>
        </w:tc>
      </w:tr>
      <w:tr>
        <w:tc>
          <w:tcPr>
            <w:tcW w:type="dxa" w:w="5112"/>
          </w:tcPr>
          <w:p>
            <w:r>
              <w:t>3306/tcp</w:t>
            </w:r>
          </w:p>
        </w:tc>
        <w:tc>
          <w:tcPr>
            <w:tcW w:type="dxa" w:w="5112"/>
          </w:tcPr>
          <w:p>
            <w:r>
              <w:t>MySQL</w:t>
            </w:r>
          </w:p>
        </w:tc>
      </w:tr>
      <w:tr>
        <w:tc>
          <w:tcPr>
            <w:tcW w:type="dxa" w:w="5112"/>
          </w:tcPr>
          <w:p>
            <w:r>
              <w:t>5432/tcp</w:t>
            </w:r>
          </w:p>
        </w:tc>
        <w:tc>
          <w:tcPr>
            <w:tcW w:type="dxa" w:w="5112"/>
          </w:tcPr>
          <w:p>
            <w:r>
              <w:t>PostgreSQL</w:t>
            </w:r>
          </w:p>
        </w:tc>
      </w:tr>
      <w:tr>
        <w:tc>
          <w:tcPr>
            <w:tcW w:type="dxa" w:w="5112"/>
          </w:tcPr>
          <w:p>
            <w:r>
              <w:t>5900/tcp</w:t>
            </w:r>
          </w:p>
        </w:tc>
        <w:tc>
          <w:tcPr>
            <w:tcW w:type="dxa" w:w="5112"/>
          </w:tcPr>
          <w:p>
            <w:r>
              <w:t>VNC</w:t>
            </w:r>
          </w:p>
        </w:tc>
      </w:tr>
      <w:tr>
        <w:tc>
          <w:tcPr>
            <w:tcW w:type="dxa" w:w="5112"/>
          </w:tcPr>
          <w:p>
            <w:r>
              <w:t>6000/tcp</w:t>
            </w:r>
          </w:p>
        </w:tc>
        <w:tc>
          <w:tcPr>
            <w:tcW w:type="dxa" w:w="5112"/>
          </w:tcPr>
          <w:p>
            <w:r>
              <w:t>X11</w:t>
            </w:r>
          </w:p>
        </w:tc>
      </w:tr>
      <w:tr>
        <w:tc>
          <w:tcPr>
            <w:tcW w:type="dxa" w:w="5112"/>
          </w:tcPr>
          <w:p>
            <w:r>
              <w:t>6667/tcp</w:t>
            </w:r>
          </w:p>
        </w:tc>
        <w:tc>
          <w:tcPr>
            <w:tcW w:type="dxa" w:w="5112"/>
          </w:tcPr>
          <w:p>
            <w:r>
              <w:t>IRC</w:t>
            </w:r>
          </w:p>
        </w:tc>
      </w:tr>
      <w:tr>
        <w:tc>
          <w:tcPr>
            <w:tcW w:type="dxa" w:w="5112"/>
          </w:tcPr>
          <w:p>
            <w:r>
              <w:t>8009/tcp</w:t>
            </w:r>
          </w:p>
        </w:tc>
        <w:tc>
          <w:tcPr>
            <w:tcW w:type="dxa" w:w="5112"/>
          </w:tcPr>
          <w:p>
            <w:r>
              <w:t>AJP13</w:t>
            </w:r>
          </w:p>
        </w:tc>
      </w:tr>
      <w:tr>
        <w:tc>
          <w:tcPr>
            <w:tcW w:type="dxa" w:w="5112"/>
          </w:tcPr>
          <w:p>
            <w:r>
              <w:t>8180/tcp</w:t>
            </w:r>
          </w:p>
        </w:tc>
        <w:tc>
          <w:tcPr>
            <w:tcW w:type="dxa" w:w="5112"/>
          </w:tcPr>
          <w:p>
            <w:r>
              <w:t>HTTP/unknown</w:t>
            </w:r>
          </w:p>
        </w:tc>
      </w:tr>
    </w:tbl>
    <w:p>
      <w:r>
        <w:t>The exposed services include legacy protocols and multiple application/database services. In a real environment, unnecessary services should be disabled and exposed services should be restricted and patched.</w:t>
      </w:r>
    </w:p>
    <w:p>
      <w:pPr>
        <w:pStyle w:val="Heading1"/>
      </w:pPr>
      <w:r>
        <w:t>5. OpenVAS Vulnerability Assessment</w:t>
      </w:r>
    </w:p>
    <w:p>
      <w:r>
        <w:t>A completed OpenVAS full scan was performed against the Metasploitable2 target. The supplied report screenshots provide the following summary:</w:t>
      </w:r>
    </w:p>
    <w:tbl>
      <w:tblPr>
        <w:tblStyle w:val="TableGrid"/>
        <w:tblW w:type="auto" w:w="0"/>
        <w:tblLook w:firstColumn="1" w:firstRow="1" w:lastColumn="0" w:lastRow="0" w:noHBand="0" w:noVBand="1" w:val="04A0"/>
      </w:tblPr>
      <w:tblGrid>
        <w:gridCol w:w="5112"/>
        <w:gridCol w:w="5112"/>
      </w:tblGrid>
      <w:tr>
        <w:tc>
          <w:tcPr>
            <w:tcW w:type="dxa" w:w="5112"/>
          </w:tcPr>
          <w:p>
            <w:r>
              <w:t>Metric</w:t>
            </w:r>
          </w:p>
        </w:tc>
        <w:tc>
          <w:tcPr>
            <w:tcW w:type="dxa" w:w="5112"/>
          </w:tcPr>
          <w:p>
            <w:r>
              <w:t>Observed result</w:t>
            </w:r>
          </w:p>
        </w:tc>
      </w:tr>
      <w:tr>
        <w:tc>
          <w:tcPr>
            <w:tcW w:type="dxa" w:w="5112"/>
          </w:tcPr>
          <w:p>
            <w:r>
              <w:t>Hosts scanned</w:t>
            </w:r>
          </w:p>
        </w:tc>
        <w:tc>
          <w:tcPr>
            <w:tcW w:type="dxa" w:w="5112"/>
          </w:tcPr>
          <w:p>
            <w:r>
              <w:t>1</w:t>
            </w:r>
          </w:p>
        </w:tc>
      </w:tr>
      <w:tr>
        <w:tc>
          <w:tcPr>
            <w:tcW w:type="dxa" w:w="5112"/>
          </w:tcPr>
          <w:p>
            <w:r>
              <w:t>Ports</w:t>
            </w:r>
          </w:p>
        </w:tc>
        <w:tc>
          <w:tcPr>
            <w:tcW w:type="dxa" w:w="5112"/>
          </w:tcPr>
          <w:p>
            <w:r>
              <w:t>20 of 23</w:t>
            </w:r>
          </w:p>
        </w:tc>
      </w:tr>
      <w:tr>
        <w:tc>
          <w:tcPr>
            <w:tcW w:type="dxa" w:w="5112"/>
          </w:tcPr>
          <w:p>
            <w:r>
              <w:t>Applications</w:t>
            </w:r>
          </w:p>
        </w:tc>
        <w:tc>
          <w:tcPr>
            <w:tcW w:type="dxa" w:w="5112"/>
          </w:tcPr>
          <w:p>
            <w:r>
              <w:t>20 of 20</w:t>
            </w:r>
          </w:p>
        </w:tc>
      </w:tr>
      <w:tr>
        <w:tc>
          <w:tcPr>
            <w:tcW w:type="dxa" w:w="5112"/>
          </w:tcPr>
          <w:p>
            <w:r>
              <w:t>CVEs</w:t>
            </w:r>
          </w:p>
        </w:tc>
        <w:tc>
          <w:tcPr>
            <w:tcW w:type="dxa" w:w="5112"/>
          </w:tcPr>
          <w:p>
            <w:r>
              <w:t>36 of 36</w:t>
            </w:r>
          </w:p>
        </w:tc>
      </w:tr>
      <w:tr>
        <w:tc>
          <w:tcPr>
            <w:tcW w:type="dxa" w:w="5112"/>
          </w:tcPr>
          <w:p>
            <w:r>
              <w:t>Results</w:t>
            </w:r>
          </w:p>
        </w:tc>
        <w:tc>
          <w:tcPr>
            <w:tcW w:type="dxa" w:w="5112"/>
          </w:tcPr>
          <w:p>
            <w:r>
              <w:t>69 of 635</w:t>
            </w:r>
          </w:p>
        </w:tc>
      </w:tr>
      <w:tr>
        <w:tc>
          <w:tcPr>
            <w:tcW w:type="dxa" w:w="5112"/>
          </w:tcPr>
          <w:p>
            <w:r>
              <w:t>TLS certificates</w:t>
            </w:r>
          </w:p>
        </w:tc>
        <w:tc>
          <w:tcPr>
            <w:tcW w:type="dxa" w:w="5112"/>
          </w:tcPr>
          <w:p>
            <w:r>
              <w:t>2 of 2</w:t>
            </w:r>
          </w:p>
        </w:tc>
      </w:tr>
      <w:tr>
        <w:tc>
          <w:tcPr>
            <w:tcW w:type="dxa" w:w="5112"/>
          </w:tcPr>
          <w:p>
            <w:r>
              <w:t>Critical</w:t>
            </w:r>
          </w:p>
        </w:tc>
        <w:tc>
          <w:tcPr>
            <w:tcW w:type="dxa" w:w="5112"/>
          </w:tcPr>
          <w:p>
            <w:r>
              <w:t>13</w:t>
            </w:r>
          </w:p>
        </w:tc>
      </w:tr>
      <w:tr>
        <w:tc>
          <w:tcPr>
            <w:tcW w:type="dxa" w:w="5112"/>
          </w:tcPr>
          <w:p>
            <w:r>
              <w:t>High</w:t>
            </w:r>
          </w:p>
        </w:tc>
        <w:tc>
          <w:tcPr>
            <w:tcW w:type="dxa" w:w="5112"/>
          </w:tcPr>
          <w:p>
            <w:r>
              <w:t>10</w:t>
            </w:r>
          </w:p>
        </w:tc>
      </w:tr>
      <w:tr>
        <w:tc>
          <w:tcPr>
            <w:tcW w:type="dxa" w:w="5112"/>
          </w:tcPr>
          <w:p>
            <w:r>
              <w:t>Medium</w:t>
            </w:r>
          </w:p>
        </w:tc>
        <w:tc>
          <w:tcPr>
            <w:tcW w:type="dxa" w:w="5112"/>
          </w:tcPr>
          <w:p>
            <w:r>
              <w:t>40</w:t>
            </w:r>
          </w:p>
        </w:tc>
      </w:tr>
      <w:tr>
        <w:tc>
          <w:tcPr>
            <w:tcW w:type="dxa" w:w="5112"/>
          </w:tcPr>
          <w:p>
            <w:r>
              <w:t>Low</w:t>
            </w:r>
          </w:p>
        </w:tc>
        <w:tc>
          <w:tcPr>
            <w:tcW w:type="dxa" w:w="5112"/>
          </w:tcPr>
          <w:p>
            <w:r>
              <w:t>6</w:t>
            </w:r>
          </w:p>
        </w:tc>
      </w:tr>
      <w:tr>
        <w:tc>
          <w:tcPr>
            <w:tcW w:type="dxa" w:w="5112"/>
          </w:tcPr>
          <w:p>
            <w:r>
              <w:t>Highest reported CVSS</w:t>
            </w:r>
          </w:p>
        </w:tc>
        <w:tc>
          <w:tcPr>
            <w:tcW w:type="dxa" w:w="5112"/>
          </w:tcPr>
          <w:p>
            <w:r>
              <w:t>10.0 (Critical)</w:t>
            </w:r>
          </w:p>
        </w:tc>
      </w:tr>
      <w:tr>
        <w:tc>
          <w:tcPr>
            <w:tcW w:type="dxa" w:w="5112"/>
          </w:tcPr>
          <w:p>
            <w:r>
              <w:t>Scan duration</w:t>
            </w:r>
          </w:p>
        </w:tc>
        <w:tc>
          <w:tcPr>
            <w:tcW w:type="dxa" w:w="5112"/>
          </w:tcPr>
          <w:p>
            <w:r>
              <w:t>1:11 h</w:t>
            </w:r>
          </w:p>
        </w:tc>
      </w:tr>
    </w:tbl>
    <w:p>
      <w:r>
        <w:t>The severity counts total 69 findings. The screenshots do not show the full individual vulnerability list, so this report does not invent CVE names, package names or remediation steps.</w:t>
      </w:r>
    </w:p>
    <w:p>
      <w:pPr>
        <w:pStyle w:val="Heading1"/>
      </w:pPr>
      <w:r>
        <w:t>6. OpenVAS Evidence</w:t>
      </w:r>
    </w:p>
    <w:p>
      <w:pPr>
        <w:jc w:val="center"/>
      </w:pPr>
      <w:r>
        <w:drawing>
          <wp:inline xmlns:a="http://schemas.openxmlformats.org/drawingml/2006/main" xmlns:pic="http://schemas.openxmlformats.org/drawingml/2006/picture">
            <wp:extent cx="5669280" cy="4361314"/>
            <wp:docPr id="1" name="Picture 1"/>
            <wp:cNvGraphicFramePr>
              <a:graphicFrameLocks noChangeAspect="1"/>
            </wp:cNvGraphicFramePr>
            <a:graphic>
              <a:graphicData uri="http://schemas.openxmlformats.org/drawingml/2006/picture">
                <pic:pic>
                  <pic:nvPicPr>
                    <pic:cNvPr id="0" name="02-OpenVAS-Task-Done.png"/>
                    <pic:cNvPicPr/>
                  </pic:nvPicPr>
                  <pic:blipFill>
                    <a:blip r:embed="rId9"/>
                    <a:stretch>
                      <a:fillRect/>
                    </a:stretch>
                  </pic:blipFill>
                  <pic:spPr>
                    <a:xfrm>
                      <a:off x="0" y="0"/>
                      <a:ext cx="5669280" cy="4361314"/>
                    </a:xfrm>
                    <a:prstGeom prst="rect"/>
                  </pic:spPr>
                </pic:pic>
              </a:graphicData>
            </a:graphic>
          </wp:inline>
        </w:drawing>
      </w:r>
    </w:p>
    <w:p>
      <w:pPr>
        <w:jc w:val="center"/>
      </w:pPr>
      <w:r>
        <w:t>Figure 1. Completed OpenVAS task for the Metasploitable target.</w:t>
      </w:r>
    </w:p>
    <w:p>
      <w:pPr>
        <w:jc w:val="center"/>
      </w:pPr>
      <w:r>
        <w:drawing>
          <wp:inline xmlns:a="http://schemas.openxmlformats.org/drawingml/2006/main" xmlns:pic="http://schemas.openxmlformats.org/drawingml/2006/picture">
            <wp:extent cx="5669280" cy="4361314"/>
            <wp:docPr id="2" name="Picture 2"/>
            <wp:cNvGraphicFramePr>
              <a:graphicFrameLocks noChangeAspect="1"/>
            </wp:cNvGraphicFramePr>
            <a:graphic>
              <a:graphicData uri="http://schemas.openxmlformats.org/drawingml/2006/picture">
                <pic:pic>
                  <pic:nvPicPr>
                    <pic:cNvPr id="0" name="03-OpenVAS-Reports.png"/>
                    <pic:cNvPicPr/>
                  </pic:nvPicPr>
                  <pic:blipFill>
                    <a:blip r:embed="rId10"/>
                    <a:stretch>
                      <a:fillRect/>
                    </a:stretch>
                  </pic:blipFill>
                  <pic:spPr>
                    <a:xfrm>
                      <a:off x="0" y="0"/>
                      <a:ext cx="5669280" cy="4361314"/>
                    </a:xfrm>
                    <a:prstGeom prst="rect"/>
                  </pic:spPr>
                </pic:pic>
              </a:graphicData>
            </a:graphic>
          </wp:inline>
        </w:drawing>
      </w:r>
    </w:p>
    <w:p>
      <w:pPr>
        <w:jc w:val="center"/>
      </w:pPr>
      <w:r>
        <w:t>Figure 2. OpenVAS report summary showing the severity distribution.</w:t>
      </w:r>
    </w:p>
    <w:p>
      <w:pPr>
        <w:jc w:val="center"/>
      </w:pPr>
      <w:r>
        <w:drawing>
          <wp:inline xmlns:a="http://schemas.openxmlformats.org/drawingml/2006/main" xmlns:pic="http://schemas.openxmlformats.org/drawingml/2006/picture">
            <wp:extent cx="5669280" cy="4361314"/>
            <wp:docPr id="3" name="Picture 3"/>
            <wp:cNvGraphicFramePr>
              <a:graphicFrameLocks noChangeAspect="1"/>
            </wp:cNvGraphicFramePr>
            <a:graphic>
              <a:graphicData uri="http://schemas.openxmlformats.org/drawingml/2006/picture">
                <pic:pic>
                  <pic:nvPicPr>
                    <pic:cNvPr id="0" name="04-OpenVAS-Report-Details.png"/>
                    <pic:cNvPicPr/>
                  </pic:nvPicPr>
                  <pic:blipFill>
                    <a:blip r:embed="rId11"/>
                    <a:stretch>
                      <a:fillRect/>
                    </a:stretch>
                  </pic:blipFill>
                  <pic:spPr>
                    <a:xfrm>
                      <a:off x="0" y="0"/>
                      <a:ext cx="5669280" cy="4361314"/>
                    </a:xfrm>
                    <a:prstGeom prst="rect"/>
                  </pic:spPr>
                </pic:pic>
              </a:graphicData>
            </a:graphic>
          </wp:inline>
        </w:drawing>
      </w:r>
    </w:p>
    <w:p>
      <w:pPr>
        <w:jc w:val="center"/>
      </w:pPr>
      <w:r>
        <w:t>Figure 3. OpenVAS report details showing hosts, ports, applications, CVEs and scan duration.</w:t>
      </w:r>
    </w:p>
    <w:p>
      <w:pPr>
        <w:pStyle w:val="Heading1"/>
      </w:pPr>
      <w:r>
        <w:t>7. Findings and Defensive Interpretation</w:t>
      </w:r>
    </w:p>
    <w:p>
      <w:pPr>
        <w:pStyle w:val="ListBullet"/>
      </w:pPr>
      <w:r>
        <w:t>The target exposes a large service surface, including legacy and unencrypted protocols.</w:t>
      </w:r>
    </w:p>
    <w:p>
      <w:pPr>
        <w:pStyle w:val="ListBullet"/>
      </w:pPr>
      <w:r>
        <w:t>OpenVAS identified 69 results, including 13 Critical and 10 High findings.</w:t>
      </w:r>
    </w:p>
    <w:p>
      <w:pPr>
        <w:pStyle w:val="ListBullet"/>
      </w:pPr>
      <w:r>
        <w:t>The highest reported CVSS score is 10.0 (Critical).</w:t>
      </w:r>
    </w:p>
    <w:p>
      <w:pPr>
        <w:pStyle w:val="ListBullet"/>
      </w:pPr>
      <w:r>
        <w:t>Nmap establishes the exposed attack surface, while OpenVAS adds vulnerability assessment context.</w:t>
      </w:r>
    </w:p>
    <w:p>
      <w:pPr>
        <w:pStyle w:val="ListBullet"/>
      </w:pPr>
      <w:r>
        <w:t>For a real system, remediation should include validation, patching, disabling unnecessary services, access restriction and a follow-up scan.</w:t>
      </w:r>
    </w:p>
    <w:p>
      <w:pPr>
        <w:pStyle w:val="Heading1"/>
      </w:pPr>
      <w:r>
        <w:t>8. Evidence and Submission Notes</w:t>
      </w:r>
    </w:p>
    <w:p>
      <w:r>
        <w:t>The supplied screenshots include the official Task 2 requirements and OpenVAS evidence. The uploaded set does not include visual screenshots of every Nmap variant, Wireshark analysis, reconnaissance activity or firewall demonstration. Those screenshots should be added to the GitHub repository if the evaluator explicitly requires screenshot evidence for each sub-task.</w:t>
      </w:r>
    </w:p>
    <w:p>
      <w:pPr>
        <w:pStyle w:val="Heading1"/>
      </w:pPr>
      <w:r>
        <w:t>9. Safety and Scope</w:t>
      </w:r>
    </w:p>
    <w:p>
      <w:r>
        <w:t>Testing was performed against the intentionally vulnerable Metasploitable2 VM in an isolated VirtualBox Host-Only environment. The activities are intended for authorized cybersecurity training.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