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b/>
          <w:bCs/>
          <w:sz w:val="28"/>
          <w:szCs w:val="28"/>
        </w:rPr>
        <w:t xml:space="preserve">UNITED STATES PATENT APPLICATION</w:t>
      </w:r>
    </w:p>
    <w:p>
      <w:pPr>
        <w:spacing w:after="720"/>
        <w:jc w:val="center"/>
      </w:pPr>
      <w:r>
        <w:rPr>
          <w:b/>
          <w:bCs/>
          <w:sz w:val="24"/>
          <w:szCs w:val="24"/>
        </w:rPr>
        <w:t xml:space="preserve">FOR</w:t>
      </w:r>
    </w:p>
    <w:p>
      <w:pPr>
        <w:spacing w:after="960"/>
        <w:jc w:val="center"/>
      </w:pPr>
      <w:r>
        <w:rPr>
          <w:b/>
          <w:bCs/>
          <w:sz w:val="32"/>
          <w:szCs w:val="32"/>
        </w:rPr>
        <w:t xml:space="preserve">BLOCKCHAIN-ENABLED SPATIOTEMPORAL CONSCIOUSNESS PRESERVATION AND INTERACTIVE SIMULATION SYSTEM</w:t>
      </w:r>
    </w:p>
    <w:p>
      <w:pPr>
        <w:spacing w:before="480" w:after="120"/>
        <w:jc w:val="left"/>
      </w:pPr>
      <w:r>
        <w:rPr>
          <w:b/>
          <w:bCs/>
        </w:rPr>
        <w:t xml:space="preserve">INVENTOR:</w:t>
      </w:r>
    </w:p>
    <w:p>
      <w:r>
        <w:t xml:space="preserve">Peter James Villa</w:t>
      </w:r>
    </w:p>
    <w:p>
      <w:r>
        <w:t xml:space="preserve">755 Bearcreek Drive</w:t>
      </w:r>
    </w:p>
    <w:p>
      <w:r>
        <w:t xml:space="preserve">Bartow, FL 33830</w:t>
      </w:r>
    </w:p>
    <w:p>
      <w:pPr>
        <w:spacing w:before="240" w:after="120"/>
      </w:pPr>
      <w:r>
        <w:rPr>
          <w:b/>
          <w:bCs/>
        </w:rPr>
        <w:t xml:space="preserve">CORRESPONDENCE ADDRESS:</w:t>
      </w:r>
    </w:p>
    <w:p>
      <w:r>
        <w:t xml:space="preserve">BlueVector.it.com</w:t>
      </w:r>
    </w:p>
    <w:p>
      <w:r>
        <w:t xml:space="preserve">230 Sunrise</w:t>
      </w:r>
    </w:p>
    <w:p>
      <w:pPr>
        <w:spacing w:after="480"/>
      </w:pPr>
      <w:r>
        <w:t xml:space="preserve">Palm Beach, FL 33480</w:t>
      </w:r>
    </w:p>
    <w:p>
      <w:r>
        <w:br w:type="page"/>
      </w:r>
    </w:p>
    <w:p>
      <w:pPr>
        <w:pStyle w:val="Heading1"/>
      </w:pPr>
      <w:r>
        <w:t xml:space="preserve">ABSTRACT</w:t>
      </w:r>
    </w:p>
    <w:p>
      <w:pPr>
        <w:spacing w:after="240"/>
      </w:pPr>
      <w:r>
        <w:t xml:space="preserve">A blockchain-enabled consciousness preservation and interactive simulation system that combines near-field communication (NFC), spatiotemporal verification, artificial intelligence language modeling, augmented reality projection, photogrammetry, and olfactory triggering to create ephemeral, ritualistic interactions with decedent simulants. The system employs distributed ledger technology to maintain privacy, legacy integrity, and collective token-based participation in grief management ceremonies. The invention provides a therapeutic application of technology for trauma resolution, toxic family dynamic processing, and the release of restricted emotional bonding through gamified memorial rituals requiring physical presence verification and temporal event synchronization.</w:t>
      </w:r>
    </w:p>
    <w:p>
      <w:pPr>
        <w:pStyle w:val="Heading1"/>
      </w:pPr>
      <w:r>
        <w:t xml:space="preserve">FIELD OF THE INVENTION</w:t>
      </w:r>
    </w:p>
    <w:p>
      <w:pPr>
        <w:spacing w:after="240"/>
      </w:pPr>
      <w:r>
        <w:t xml:space="preserve">The present invention relates generally to grief technology (griefTech) systems, and more particularly to blockchain-secured consciousness simulation platforms that integrate NFC-enabled physical memorials, AI-generated personality models, spatially-verified multi-participant rituals, augmented reality visualization, photogrammetric interaction, and controlled olfactory responses for therapeutic trauma processing and collective bereavement management.</w:t>
      </w:r>
    </w:p>
    <w:p>
      <w:pPr>
        <w:pStyle w:val="Heading1"/>
      </w:pPr>
      <w:r>
        <w:t xml:space="preserve">BACKGROUND OF THE INVENTION</w:t>
      </w:r>
    </w:p>
    <w:p>
      <w:pPr>
        <w:spacing w:after="120"/>
      </w:pPr>
      <w:r>
        <w:t xml:space="preserve">Conventional memorial and grief management systems suffer from numerous limitations. Traditional memorial objects provide only static remembrance without interactive capability. Digital memorial platforms lack physical grounding and fail to require synchronous participation among bereaved individuals. Existing AI conversation systems operate continuously without temporal boundaries, undermining the ritual significance of limited, intentional contact.</w:t>
      </w:r>
    </w:p>
    <w:p>
      <w:pPr>
        <w:spacing w:after="120"/>
      </w:pPr>
      <w:r>
        <w:t xml:space="preserve">Current grief therapy approaches do not leverage gamification mechanics to incentivize collective participation in healing rituals. No existing systems combine blockchain-verified attendance, NFC-triggered activation, spatially-bound interaction zones, and time-limited simulant availability. Furthermore, conventional approaches fail to protect legacy privacy through cryptographic methods while enabling controlled information dissemination across generational boundaries.</w:t>
      </w:r>
    </w:p>
    <w:p>
      <w:pPr>
        <w:spacing w:after="120"/>
      </w:pPr>
      <w:r>
        <w:t xml:space="preserve">The psychological importance of physical presence in grief processing is well-documented, yet digital memorial platforms typically operate in isolation without verification of participant co-location. The therapeutic value of olfactory memory triggers remains underutilized in technological grief interventions. Additionally, the concept of 'decoherence' across three generations—wherein certain sensitive legacy information is intentionally restricted to protect family stability and preserve established wealth structures—has not been integrated into digital memorial systems.</w:t>
      </w:r>
    </w:p>
    <w:p>
      <w:pPr>
        <w:spacing w:after="240"/>
      </w:pPr>
      <w:r>
        <w:t xml:space="preserve">There exists a need for a comprehensive griefTech platform that addresses trauma resolution through technology-enabled ritual, maintains cryptographic privacy controls, verifies multi-participant synchronous attendance, provides augmented reality visualization with photogrammetric interaction, incorporates controlled olfactory responses, and implements generational information decoherence protocols to balance legacy preservation with family protection.</w:t>
      </w:r>
    </w:p>
    <w:p>
      <w:pPr>
        <w:pStyle w:val="Heading1"/>
      </w:pPr>
      <w:r>
        <w:t xml:space="preserve">SUMMARY OF THE INVENTION</w:t>
      </w:r>
    </w:p>
    <w:p>
      <w:pPr>
        <w:spacing w:after="120"/>
      </w:pPr>
      <w:r>
        <w:t xml:space="preserve">The present invention overcomes the limitations of prior art by providing TheThirdElement™ system—a blockchain-enabled spatiotemporal consciousness preservation and interactive simulation platform that uniquely combines NFC-triggered activation, WiFi/Bluetooth spatial verification, individual language model training of decedent personalities, temporal event synchronization, augmented reality vapor field projection, real-time photogrammetric interaction, controlled olfactory triggering, and distributed ledger token gathering for collective grief management.</w:t>
      </w:r>
    </w:p>
    <w:p>
      <w:pPr>
        <w:spacing w:after="120"/>
      </w:pPr>
      <w:r>
        <w:t xml:space="preserve">The system employs physical memorial registers fabricated from epoxy and obsidian materials with embedded NFC and/or WiFi chips. These memorial objects serve as cryptographically-secured activation points requiring verified proximity. Upon authorized approach by registered participants, the system initiates blockchain verification of participant credentials and spatial location through combined NFC handshake and WiFi/Bluetooth triangulation.</w:t>
      </w:r>
    </w:p>
    <w:p>
      <w:pPr>
        <w:spacing w:after="120"/>
      </w:pPr>
      <w:r>
        <w:t xml:space="preserve">A core innovation involves the temporal restriction of simulant availability. Unlike continuously-accessible AI chatbots, the decedent simulant only manifests during designated ceremonial events when all authorized participants are simultaneously present within the verified spatial zone. This requirement enforces collective participation in grief rituals and prevents isolated, unprocessed emotional engagement.</w:t>
      </w:r>
    </w:p>
    <w:p>
      <w:pPr>
        <w:spacing w:after="120"/>
      </w:pPr>
      <w:r>
        <w:t xml:space="preserve">The simulant itself comprises an individually-trained large language model (LLM) created through pre-death progressive tuning (wherein living individuals train their future memorial persona) or post-death reverse creation (wherein family members reconstruct personality from artifacts, writings, and memories). The blockchain maintains immutable training data provenance and controls access through multi-signature authorization schemes.</w:t>
      </w:r>
    </w:p>
    <w:p>
      <w:pPr>
        <w:spacing w:after="120"/>
      </w:pPr>
      <w:r>
        <w:t xml:space="preserve">During authorized ritual events, participants collectively generate prompts for simulant interaction. The system renders responses through a 'vapor video field'—an augmented reality projection overlay accessed via smartphone or tablet devices, combining holographic visual elements with real-time photogrammetry that maps simulant representations onto the physical environment. This creates the illusion of presence while maintaining clear differentiation from reality.</w:t>
      </w:r>
    </w:p>
    <w:p>
      <w:pPr>
        <w:spacing w:after="120"/>
      </w:pPr>
      <w:r>
        <w:t xml:space="preserve">A sophisticated olfactory triggering subsystem allows the simulant to activate controlled scent releases during ritual interactions. Importantly, the simulant can employ 'silence through scent'—responding to sensitive questions not with words but with specific fragrances, thereby honoring the question while maintaining legacy boundaries. This mechanism supports the three-generation decoherence protocol, wherein certain information naturally attenuates across generational boundaries to protect family stability and preserve established resources from disruptive revelations.</w:t>
      </w:r>
    </w:p>
    <w:p>
      <w:pPr>
        <w:spacing w:after="120"/>
      </w:pPr>
      <w:r>
        <w:t xml:space="preserve">The blockchain infrastructure implements community-sourced participation through token mechanics. Participants earn cryptographic tokens through ritual attendance, emotional sharing contributions, and support provision to other bereaved individuals. This gamification creates network effects that sustain collective healing while maintaining individual privacy through zero-knowledge proof protocols.</w:t>
      </w:r>
    </w:p>
    <w:p>
      <w:pPr>
        <w:spacing w:after="120"/>
      </w:pPr>
      <w:r>
        <w:t xml:space="preserve">The system extends beyond human application to veterinary contexts (the 'pet model'), wherein companion animal consciousness preservation follows identical architectural principles with NFC/WiFi-enabled memorial tombstones supporting tap-to-pray functionality for continuous yet bounded remembrance.</w:t>
      </w:r>
    </w:p>
    <w:p>
      <w:pPr>
        <w:spacing w:after="120"/>
      </w:pPr>
      <w:r>
        <w:t xml:space="preserve">Additional applications include pre-mortem archival for progressive cognitive decline conditions (Alzheimer's disease, traumatic brain injury, other neurodegenerative disorders) wherein leadership coherence and personal identity preservation occur before total cognitive loss. The system also provides childhood consciousness archival for victims of premature death, preserving developmental trajectory and personality essence.</w:t>
      </w:r>
    </w:p>
    <w:p>
      <w:pPr>
        <w:spacing w:after="240"/>
      </w:pPr>
      <w:r>
        <w:t xml:space="preserve">Through this novel combination of elements, the invention provides a comprehensive griefTech platform addressing the universal human problem of death, trauma, unprocessed family dynamics, and restricted emotional connection through technology-enabled therapeutic ritual that respects both individual privacy and collective healing needs.</w:t>
      </w:r>
    </w:p>
    <w:p>
      <w:r>
        <w:br w:type="page"/>
      </w:r>
    </w:p>
    <w:p>
      <w:pPr>
        <w:pStyle w:val="Heading1"/>
      </w:pPr>
      <w:r>
        <w:t xml:space="preserve">DETAILED DESCRIPTION OF THE INVENTION</w:t>
      </w:r>
    </w:p>
    <w:p>
      <w:pPr>
        <w:pStyle w:val="Heading2"/>
      </w:pPr>
      <w:r>
        <w:t xml:space="preserve">System Architecture Overview</w:t>
      </w:r>
    </w:p>
    <w:p>
      <w:pPr>
        <w:spacing w:after="120"/>
      </w:pPr>
      <w:r>
        <w:t xml:space="preserve">TheThirdElement™ system comprises six interconnected subsystems: (1) Physical Memorial Infrastructure, (2) Blockchain Verification Layer, (3) Consciousness Preservation Engine, (4) Spatiotemporal Validation Network, (5) Augmented Reality Interaction Interface, and (6) Olfactory Response Controller. Each subsystem operates in coordinated fashion to achieve the therapeutic and memorial objectives of the invention.</w:t>
      </w:r>
    </w:p>
    <w:p>
      <w:pPr>
        <w:pStyle w:val="Heading2"/>
      </w:pPr>
      <w:r>
        <w:t xml:space="preserve">Physical Memorial Infrastructure</w:t>
      </w:r>
    </w:p>
    <w:p>
      <w:pPr>
        <w:spacing w:after="120"/>
      </w:pPr>
      <w:r>
        <w:t xml:space="preserve">The physical memorial registers comprise composite materials selected for durability, aesthetic appeal, and electromagnetic compatibility. The preferred embodiment utilizes epoxy resin embedded with obsidian fragments, creating both structural integrity and symbolic resonance (obsidian's historical association with ancestor veneration and spiritual boundaries).</w:t>
      </w:r>
    </w:p>
    <w:p>
      <w:pPr>
        <w:spacing w:after="120"/>
      </w:pPr>
      <w:r>
        <w:t xml:space="preserve">Embedded within each memorial register are NFC chips (ISO 14443A/B or ISO 15693 standards) and optionally WiFi transceivers (IEEE 802.11 protocols). The NFC chips store encrypted participant authorization credentials and memorial identification tokens. WiFi components enable extended-range spatial verification through received signal strength indication (RSSI) triangulation when multiple access points are deployed.</w:t>
      </w:r>
    </w:p>
    <w:p>
      <w:pPr>
        <w:spacing w:after="120"/>
      </w:pPr>
      <w:r>
        <w:t xml:space="preserve">For the pet model implementation, memorial tombstones incorporate similar NFC/WiFi capabilities with weather-resistant enclosures rated for outdoor installation. The 'tap-to-pray' functionality activates through NFC proximity detection (typically 4cm range for ISO 14443, 1 meter for ISO 15693), triggering blockchain logging of memorial visitation without requiring full simulant activation.</w:t>
      </w:r>
    </w:p>
    <w:p>
      <w:pPr>
        <w:pStyle w:val="Heading2"/>
      </w:pPr>
      <w:r>
        <w:t xml:space="preserve">Blockchain Verification Layer</w:t>
      </w:r>
    </w:p>
    <w:p>
      <w:pPr>
        <w:spacing w:after="120"/>
      </w:pPr>
      <w:r>
        <w:t xml:space="preserve">The system employs a custom blockchain architecture optimized for privacy-preserving identity verification and legacy access control. Unlike public blockchains requiring global transparency, the verification layer implements permissioned nodes with selective disclosure protocols.</w:t>
      </w:r>
    </w:p>
    <w:p>
      <w:pPr>
        <w:spacing w:after="120"/>
      </w:pPr>
      <w:r>
        <w:t xml:space="preserve">Participant authorization occurs through multi-signature wallet schemes requiring threshold consensus (e.g., 3-of-5 signatures) for simulant activation. This prevents unilateral access while ensuring system availability despite participant unavailability. Smart contracts encode temporal activation windows, spatial boundary conditions, and generational decoherence rules.</w:t>
      </w:r>
    </w:p>
    <w:p>
      <w:pPr>
        <w:spacing w:after="120"/>
      </w:pPr>
      <w:r>
        <w:t xml:space="preserve">Token mechanics operate on an internal ledger tracking ritual participation, emotional contribution quality (validated through peer assessment), and community support activities. Tokens unlock enhanced simulant interaction privileges, extended ritual duration, or priority scheduling for limited-availability ceremonial time slots. Importantly, tokens remain non-transferable and non-monetizable, preserving therapeutic focus over speculative economics.</w:t>
      </w:r>
    </w:p>
    <w:p>
      <w:pPr>
        <w:spacing w:after="120"/>
      </w:pPr>
      <w:r>
        <w:t xml:space="preserve">Zero-knowledge proofs enable participants to demonstrate ritual attendance and contribution validity without revealing specific content to the broader network. This protects individual vulnerability during emotional processing while maintaining system integrity against fraudulent participation claims.</w:t>
      </w:r>
    </w:p>
    <w:p>
      <w:pPr>
        <w:pStyle w:val="Heading2"/>
      </w:pPr>
      <w:r>
        <w:t xml:space="preserve">Consciousness Preservation Engine</w:t>
      </w:r>
    </w:p>
    <w:p>
      <w:pPr>
        <w:spacing w:after="120"/>
      </w:pPr>
      <w:r>
        <w:t xml:space="preserve">The simulant generation process follows two distinct pathways: progressive model training (pre-death) and reverse creation services (post-death).</w:t>
      </w:r>
    </w:p>
    <w:p>
      <w:pPr>
        <w:spacing w:after="120"/>
      </w:pPr>
      <w:r>
        <w:t xml:space="preserve">Progressive model training allows living individuals to deliberately construct their post-death persona through iterative interaction with the training system. The individual provides written materials, audio recordings, video content, and direct conversational training sessions. Machine learning algorithms (preferably transformer-based architectures such as GPT-family models) fine-tune base language models to replicate speech patterns, personality traits, knowledge domains, and ethical frameworks characteristic of the individual.</w:t>
      </w:r>
    </w:p>
    <w:p>
      <w:pPr>
        <w:spacing w:after="120"/>
      </w:pPr>
      <w:r>
        <w:t xml:space="preserve">Critically, progressive training enables explicit instruction regarding information decoherence. The individual designates specific topics, revelations, or family history elements that should attenuate or become inaccessible across generational boundaries. For example, a first-generation entrepreneur might specify that detailed business strategy information remains fully accessible to their children (second generation) but becomes progressively abstracted for grandchildren (third generation), preserving family unity and resource stability against potentially disruptive knowledge.</w:t>
      </w:r>
    </w:p>
    <w:p>
      <w:pPr>
        <w:spacing w:after="120"/>
      </w:pPr>
      <w:r>
        <w:t xml:space="preserve">Reverse creation services reconstruct personality models posthumously from artifacts. Family members gather writings, emails, social media content, photographs, and recorded media. Natural language processing algorithms analyze linguistic patterns while computer vision systems extract behavioral cues from video footage. The resulting model necessarily contains greater uncertainty than progressive training but provides valuable memorial interaction for unexpected deaths.</w:t>
      </w:r>
    </w:p>
    <w:p>
      <w:pPr>
        <w:spacing w:after="120"/>
      </w:pPr>
      <w:r>
        <w:t xml:space="preserve">For cognitive decline archival (Alzheimer's, traumatic brain injury), the system captures personality essence during lucid periods before total cognitive loss. This preserves leadership coherence—enabling continued family guidance through simulant interaction even as the living individual's cognitive capacity deteriorates. The blockchain immutably timestamps all training data, preventing post-decline manipulation of the archived consciousness.</w:t>
      </w:r>
    </w:p>
    <w:p>
      <w:pPr>
        <w:pStyle w:val="Heading2"/>
      </w:pPr>
      <w:r>
        <w:t xml:space="preserve">Spatiotemporal Validation Network</w:t>
      </w:r>
    </w:p>
    <w:p>
      <w:pPr>
        <w:spacing w:after="120"/>
      </w:pPr>
      <w:r>
        <w:t xml:space="preserve">A fundamental innovation distinguishing TheThirdElement™ from conventional memorial systems is the mandatory synchronous presence requirement. The simulant only manifests during designated temporal events when all authorized participants occupy the verified spatial boundary simultaneously.</w:t>
      </w:r>
    </w:p>
    <w:p>
      <w:pPr>
        <w:spacing w:after="120"/>
      </w:pPr>
      <w:r>
        <w:t xml:space="preserve">Spatial verification employs multi-factor validation. NFC proximity confirms participant presence within immediate memorial zone (sub-meter accuracy). WiFi RSSI triangulation or Bluetooth Low Energy (BLE) beaconing extends verification to larger ceremonial spaces (room-scale to building-scale accuracy). GPS coordinates provide outdoor verification with appropriate accuracy tolerances.</w:t>
      </w:r>
    </w:p>
    <w:p>
      <w:pPr>
        <w:spacing w:after="120"/>
      </w:pPr>
      <w:r>
        <w:t xml:space="preserve">Temporal synchronization requires all participants to authenticate within a defined window (e.g., 15-minute grace period) before simulant activation. This enforces collective commitment to the ritual rather than enabling casual, isolated interaction. The blockchain logs exact attendance timestamps, creating immutable ceremony records that themselves constitute legacy artifacts for future generations.</w:t>
      </w:r>
    </w:p>
    <w:p>
      <w:pPr>
        <w:spacing w:after="120"/>
      </w:pPr>
      <w:r>
        <w:t xml:space="preserve">The system prevents spoofing through cryptographic challenge-response protocols. Each participant device must solve computational puzzles proving physical proximity cannot be simulated through replayed authentication tokens or remote procedure calls. Liveness detection algorithms verify active participant engagement rather than passive device presence.</w:t>
      </w:r>
    </w:p>
    <w:p>
      <w:pPr>
        <w:pStyle w:val="Heading2"/>
      </w:pPr>
      <w:r>
        <w:t xml:space="preserve">Augmented Reality Interaction Interface</w:t>
      </w:r>
    </w:p>
    <w:p>
      <w:pPr>
        <w:spacing w:after="120"/>
      </w:pPr>
      <w:r>
        <w:t xml:space="preserve">The 'vapor video field' represents the visual manifestation system combining augmented reality overlay, photogrammetric environmental mapping, and intentional ephemerality to create bounded memorial interaction.</w:t>
      </w:r>
    </w:p>
    <w:p>
      <w:pPr>
        <w:spacing w:after="120"/>
      </w:pPr>
      <w:r>
        <w:t xml:space="preserve">Participants access the interface through smartphone or tablet devices running specialized applications. The applications employ SLAM (Simultaneous Localization and Mapping) algorithms to construct real-time 3D models of the physical environment. Computer vision systems detect surfaces, objects, and spatial geometry suitable for simulant projection.</w:t>
      </w:r>
    </w:p>
    <w:p>
      <w:pPr>
        <w:spacing w:after="120"/>
      </w:pPr>
      <w:r>
        <w:t xml:space="preserve">The simulant appears as a translucent, stylized representation—deliberately non-photorealistic to maintain psychological boundary between memorial interaction and confusion with living presence. Visual effects employ particle systems creating 'vapor-like' boundaries around the simulant figure, emphasizing the ephemeral nature of the interaction.</w:t>
      </w:r>
    </w:p>
    <w:p>
      <w:pPr>
        <w:spacing w:after="120"/>
      </w:pPr>
      <w:r>
        <w:t xml:space="preserve">Real-time photogrammetry enables simulant interaction with the physical environment. The system tracks participant positions, gestures, and movements. The simulant can appear to make eye contact, gesture toward physical objects, or move through the mapped space in contextually-appropriate ways. This grounding in shared physical reality enhances emotional resonance while maintaining clear artificiality through visual styling.</w:t>
      </w:r>
    </w:p>
    <w:p>
      <w:pPr>
        <w:spacing w:after="120"/>
      </w:pPr>
      <w:r>
        <w:t xml:space="preserve">Prompt generation occurs collectively through multiuser interface. Participants collaboratively formulate questions or topics for simulant engagement. This enforces shared narrative construction and prevents individual domination of the ritual. The blockchain records all prompts and responses, creating permanent ceremony transcripts.</w:t>
      </w:r>
    </w:p>
    <w:p>
      <w:pPr>
        <w:pStyle w:val="Heading2"/>
      </w:pPr>
      <w:r>
        <w:t xml:space="preserve">Olfactory Response Controller</w:t>
      </w:r>
    </w:p>
    <w:p>
      <w:pPr>
        <w:spacing w:after="120"/>
      </w:pPr>
      <w:r>
        <w:t xml:space="preserve">The olfactory subsystem provides non-verbal communication capability through controlled scent release. Research demonstrates olfactory memory's unique potency in emotional recall and psychological processing. The invention leverages this through programmable fragrance diffusion.</w:t>
      </w:r>
    </w:p>
    <w:p>
      <w:pPr>
        <w:spacing w:after="120"/>
      </w:pPr>
      <w:r>
        <w:t xml:space="preserve">Hardware implementation utilizes microfluidic scent delivery systems with multiple fragrance reservoirs. Piezoelectric or thermal diffusion mechanisms vaporize selected fragrances into the ceremonial space. The system can produce single scents or complex combinations, with timing control enabling brief olfactory 'punctuation' or sustained ambient scenting.</w:t>
      </w:r>
    </w:p>
    <w:p>
      <w:pPr>
        <w:spacing w:after="120"/>
      </w:pPr>
      <w:r>
        <w:t xml:space="preserve">Critically, the simulant can employ 'silence through scent' as a response modality. When confronted with questions touching upon decoherence boundaries—information designated as inappropriately disruptive for current-generation revelation—the simulant responds with specific fragrances rather than verbal answers. This honors the question's validity while maintaining protective boundaries.</w:t>
      </w:r>
    </w:p>
    <w:p>
      <w:pPr>
        <w:spacing w:after="120"/>
      </w:pPr>
      <w:r>
        <w:t xml:space="preserve">For example, a grandchild might ask about family business decisions that led to current wealth. If the decedent designated this topic for third-generation decoherence (preventing knowledge that might destabilize family relationships or resource management), the simulant releases a signature fragrance (perhaps the decedent's preferred cologne or a symbolically meaningful scent) rather than providing detailed historical explanation. This creates emotional acknowledgment without information transfer, supporting legacy preservation objectives.</w:t>
      </w:r>
    </w:p>
    <w:p>
      <w:pPr>
        <w:pStyle w:val="Heading2"/>
      </w:pPr>
      <w:r>
        <w:t xml:space="preserve">Therapeutic Framework and Gamification Mechanics</w:t>
      </w:r>
    </w:p>
    <w:p>
      <w:pPr>
        <w:spacing w:after="120"/>
      </w:pPr>
      <w:r>
        <w:t xml:space="preserve">TheThirdElement™ functions as griefTech—technology applied to trauma resolution, toxic family dynamic processing, and restricted emotional bonding release. The gamification framework creates structured progression through grief stages while maintaining therapeutic validity.</w:t>
      </w:r>
    </w:p>
    <w:p>
      <w:pPr>
        <w:spacing w:after="120"/>
      </w:pPr>
      <w:r>
        <w:t xml:space="preserve">Token accumulation through ritual participation, vulnerability sharing, and community support provision creates positive reinforcement for continued engagement. However, unlike commercial gamification optimizing for addictive engagement, the system implements deliberate friction and temporal limitations to prevent obsessive interaction.</w:t>
      </w:r>
    </w:p>
    <w:p>
      <w:pPr>
        <w:spacing w:after="120"/>
      </w:pPr>
      <w:r>
        <w:t xml:space="preserve">Community-sourced content generation enables participants to contribute to collective grief resources. Users might create guided meditation sequences, share coping strategies, or produce educational content about specific loss types. Quality assessment occurs through peer review, with highly-rated contributions earning token rewards and system prominence.</w:t>
      </w:r>
    </w:p>
    <w:p>
      <w:pPr>
        <w:spacing w:after="120"/>
      </w:pPr>
      <w:r>
        <w:t xml:space="preserve">The 'Pokemon Go meets The Fifth Element' conceptual framing draws on location-based augmented reality gaming mechanics (Pokemon Go) combined with the sacred, ritualistic elements depicted in The Fifth Element's narrative universe. Participants might 'discover' memorial sites, unlock location-specific content, or coordinate group ceremonial events—all while maintaining therapeutic focus on genuine emotional processing rather than entertainment.</w:t>
      </w:r>
    </w:p>
    <w:p>
      <w:pPr>
        <w:pStyle w:val="Heading2"/>
      </w:pPr>
      <w:r>
        <w:t xml:space="preserve">Market Applications and Scaling</w:t>
      </w:r>
    </w:p>
    <w:p>
      <w:pPr>
        <w:spacing w:after="120"/>
      </w:pPr>
      <w:r>
        <w:t xml:space="preserve">The target market encompasses any human or animal facing mortality—effectively universal scope. Specific segments include:</w:t>
      </w:r>
    </w:p>
    <w:p>
      <w:pPr>
        <w:spacing w:after="120"/>
      </w:pPr>
      <w:r>
        <w:t xml:space="preserve">1. Standard bereavement contexts (post-death memorial for humans, expected deaths from illness or age)</w:t>
      </w:r>
    </w:p>
    <w:p>
      <w:pPr>
        <w:spacing w:after="120"/>
      </w:pPr>
      <w:r>
        <w:t xml:space="preserve">2. Companion animal memorial (pet model with NFC/WiFi tombstones)</w:t>
      </w:r>
    </w:p>
    <w:p>
      <w:pPr>
        <w:spacing w:after="120"/>
      </w:pPr>
      <w:r>
        <w:t xml:space="preserve">3. Cognitive decline archival (Alzheimer's, traumatic brain injury, neurodegenerative disease progression)</w:t>
      </w:r>
    </w:p>
    <w:p>
      <w:pPr>
        <w:spacing w:after="120"/>
      </w:pPr>
      <w:r>
        <w:t xml:space="preserve">4. Childhood preservation (premature death, terminal illness in young individuals)</w:t>
      </w:r>
    </w:p>
    <w:p>
      <w:pPr>
        <w:spacing w:after="120"/>
      </w:pPr>
      <w:r>
        <w:t xml:space="preserve">5. Leadership continuity (executives, political figures, cultural leaders maintaining guidance capacity beyond physical lifespan)</w:t>
      </w:r>
    </w:p>
    <w:p>
      <w:pPr>
        <w:spacing w:after="120"/>
      </w:pPr>
      <w:r>
        <w:t xml:space="preserve">Revenue models include subscription-based archival access (ongoing storage and computation costs), a la carte feature upgrades (enhanced simulant capabilities, extended ritual duration, premium AR effects), and community engagement token economics (participants can spend tokens on platform features while maintaining non-monetary token characteristics).</w:t>
      </w:r>
    </w:p>
    <w:p>
      <w:pPr>
        <w:spacing w:after="240"/>
      </w:pPr>
      <w:r>
        <w:t xml:space="preserve">The business model explicitly avoids 'shark tank' speculative capital, instead pursuing aligned angel investors who understand therapeutic technology's long-term value creation rather than extractive rapid scaling. The three-generation decoherence concept itself extends to company ownership—protecting innovative directions from premature monetization that might compromise therapeutic integrity.</w:t>
      </w:r>
    </w:p>
    <w:p>
      <w:r>
        <w:br w:type="page"/>
      </w:r>
    </w:p>
    <w:p>
      <w:pPr>
        <w:pStyle w:val="Heading1"/>
      </w:pPr>
      <w:r>
        <w:t xml:space="preserve">CLAIMS</w:t>
      </w:r>
    </w:p>
    <w:p>
      <w:pPr>
        <w:spacing w:after="120"/>
      </w:pPr>
      <w:r>
        <w:t xml:space="preserve">What is claimed is:</w:t>
      </w:r>
    </w:p>
    <w:p>
      <w:pPr>
        <w:pStyle w:val="ListParagraph"/>
        <w:numPr>
          <w:ilvl w:val="0"/>
          <w:numId w:val="2"/>
        </w:numPr>
      </w:pPr>
      <w:r>
        <w:t xml:space="preserve">A blockchain-enabled spatiotemporal consciousness preservation and interactive simulation system comprising: a physical memorial register incorporating near-field communication (NFC) hardware and wireless network communication capability; a blockchain verification layer implementing cryptographic participant authentication and temporal event authorization; a consciousness preservation engine comprising an individually-trained large language model (LLM) constructed through progressive pre-death training or reverse post-death creation; a spatiotemporal validation network requiring synchronous multi-participant presence verification through combined NFC proximity detection and wireless network triangulation before simulant activation; an augmented reality interaction interface generating vapor video field visualization through photogrammetric environmental mapping and collective prompt generation; and an olfactory response controller providing fragrance-based communication including silence-through-scent responses to decoherence-protected legacy information.</w:t>
      </w:r>
    </w:p>
    <w:p>
      <w:pPr>
        <w:pStyle w:val="ListParagraph"/>
        <w:numPr>
          <w:ilvl w:val="0"/>
          <w:numId w:val="2"/>
        </w:numPr>
      </w:pPr>
      <w:r>
        <w:t xml:space="preserve">The system of claim 1, wherein the physical memorial register comprises epoxy resin embedded with obsidian fragments housing NFC chips conforming to ISO 14443 or ISO 15693 standards and optionally WiFi transceivers implementing IEEE 802.11 protocols for extended-range spatial verification.</w:t>
      </w:r>
    </w:p>
    <w:p>
      <w:pPr>
        <w:pStyle w:val="ListParagraph"/>
        <w:numPr>
          <w:ilvl w:val="0"/>
          <w:numId w:val="2"/>
        </w:numPr>
      </w:pPr>
      <w:r>
        <w:t xml:space="preserve">The system of claim 1, wherein the blockchain verification layer employs a permissioned architecture implementing multi-signature wallet schemes requiring threshold consensus for simulant activation, smart contracts encoding temporal windows and spatial boundaries, and zero-knowledge proofs enabling participation validation without content disclosure.</w:t>
      </w:r>
    </w:p>
    <w:p>
      <w:pPr>
        <w:pStyle w:val="ListParagraph"/>
        <w:numPr>
          <w:ilvl w:val="0"/>
          <w:numId w:val="2"/>
        </w:numPr>
      </w:pPr>
      <w:r>
        <w:t xml:space="preserve">The system of claim 1, wherein the consciousness preservation engine implements progressive model training allowing living individuals to deliberately construct post-death personas through iterative interaction including explicit designation of generational decoherence protocols restricting information accessibility across three-generation boundaries.</w:t>
      </w:r>
    </w:p>
    <w:p>
      <w:pPr>
        <w:pStyle w:val="ListParagraph"/>
        <w:numPr>
          <w:ilvl w:val="0"/>
          <w:numId w:val="2"/>
        </w:numPr>
      </w:pPr>
      <w:r>
        <w:t xml:space="preserve">The system of claim 1, wherein the consciousness preservation engine implements reverse creation services reconstructing personality models from posthumous artifacts including writings, recordings, and digital content through natural language processing and computer vision analysis.</w:t>
      </w:r>
    </w:p>
    <w:p>
      <w:pPr>
        <w:pStyle w:val="ListParagraph"/>
        <w:numPr>
          <w:ilvl w:val="0"/>
          <w:numId w:val="2"/>
        </w:numPr>
      </w:pPr>
      <w:r>
        <w:t xml:space="preserve">The system of claim 1, wherein the spatiotemporal validation network employs multi-factor spatial verification combining NFC proximity confirmation within sub-meter accuracy, WiFi RSSI triangulation or Bluetooth Low Energy beaconing for room-scale to building-scale accuracy, and GPS coordinates for outdoor verification, together with cryptographic challenge-response protocols preventing authentication spoofing.</w:t>
      </w:r>
    </w:p>
    <w:p>
      <w:pPr>
        <w:pStyle w:val="ListParagraph"/>
        <w:numPr>
          <w:ilvl w:val="0"/>
          <w:numId w:val="2"/>
        </w:numPr>
      </w:pPr>
      <w:r>
        <w:t xml:space="preserve">The system of claim 1, wherein temporal synchronization requires all authorized participants to authenticate within a defined grace period before simulant activation, enforcing collective commitment and logging immutable attendance timestamps to the blockchain.</w:t>
      </w:r>
    </w:p>
    <w:p>
      <w:pPr>
        <w:pStyle w:val="ListParagraph"/>
        <w:numPr>
          <w:ilvl w:val="0"/>
          <w:numId w:val="2"/>
        </w:numPr>
      </w:pPr>
      <w:r>
        <w:t xml:space="preserve">The system of claim 1, wherein the augmented reality interaction interface employs SLAM algorithms constructing real-time 3D environmental models, renders translucent non-photorealistic simulant representations with vapor-like particle effects emphasizing ephemerality, enables real-time photogrammetric simulant interaction with physical environment through gesture and movement tracking, and implements collective prompt generation through multiuser interface with blockchain recording of all prompts and responses.</w:t>
      </w:r>
    </w:p>
    <w:p>
      <w:pPr>
        <w:pStyle w:val="ListParagraph"/>
        <w:numPr>
          <w:ilvl w:val="0"/>
          <w:numId w:val="2"/>
        </w:numPr>
      </w:pPr>
      <w:r>
        <w:t xml:space="preserve">The system of claim 1, wherein the olfactory response controller comprises microfluidic scent delivery systems with multiple fragrance reservoirs, piezoelectric or thermal diffusion mechanisms, and timing control enabling brief olfactory punctuation or sustained ambient scenting.</w:t>
      </w:r>
    </w:p>
    <w:p>
      <w:pPr>
        <w:pStyle w:val="ListParagraph"/>
        <w:numPr>
          <w:ilvl w:val="0"/>
          <w:numId w:val="2"/>
        </w:numPr>
      </w:pPr>
      <w:r>
        <w:t xml:space="preserve">The system of claim 9, wherein the olfactory response controller implements silence-through-scent communication wherein the simulant responds to questions touching decoherence boundaries with specific fragrances rather than verbal answers, creating emotional acknowledgment without information transfer.</w:t>
      </w:r>
    </w:p>
    <w:p>
      <w:pPr>
        <w:pStyle w:val="ListParagraph"/>
        <w:numPr>
          <w:ilvl w:val="0"/>
          <w:numId w:val="2"/>
        </w:numPr>
      </w:pPr>
      <w:r>
        <w:t xml:space="preserve">The system of claim 1, further comprising token mechanics operating on an internal blockchain ledger tracking ritual participation, emotional contribution quality through peer assessment, and community support activities, wherein tokens unlock enhanced simulant interaction privileges while remaining non-transferable and non-monetizable.</w:t>
      </w:r>
    </w:p>
    <w:p>
      <w:pPr>
        <w:pStyle w:val="ListParagraph"/>
        <w:numPr>
          <w:ilvl w:val="0"/>
          <w:numId w:val="2"/>
        </w:numPr>
      </w:pPr>
      <w:r>
        <w:t xml:space="preserve">The system of claim 1, adapted for companion animal memorial through weather-resistant memorial tombstones incorporating NFC/WiFi capability and implementing tap-to-pray functionality activating through NFC proximity detection and triggering blockchain logging of memorial visitation.</w:t>
      </w:r>
    </w:p>
    <w:p>
      <w:pPr>
        <w:pStyle w:val="ListParagraph"/>
        <w:numPr>
          <w:ilvl w:val="0"/>
          <w:numId w:val="2"/>
        </w:numPr>
      </w:pPr>
      <w:r>
        <w:t xml:space="preserve">The system of claim 1, adapted for cognitive decline archival wherein personality essence is captured during lucid periods before total cognitive loss from Alzheimer's disease, traumatic brain injury, or other neurodegenerative disorders, preserving leadership coherence through simulant interaction as living individual's cognitive capacity deteriorates.</w:t>
      </w:r>
    </w:p>
    <w:p>
      <w:pPr>
        <w:pStyle w:val="ListParagraph"/>
        <w:numPr>
          <w:ilvl w:val="0"/>
          <w:numId w:val="2"/>
        </w:numPr>
      </w:pPr>
      <w:r>
        <w:t xml:space="preserve">The system of claim 1, adapted for childhood consciousness archival preserving developmental trajectory and personality essence for victims of premature death.</w:t>
      </w:r>
    </w:p>
    <w:p>
      <w:pPr>
        <w:pStyle w:val="ListParagraph"/>
        <w:numPr>
          <w:ilvl w:val="0"/>
          <w:numId w:val="2"/>
        </w:numPr>
      </w:pPr>
      <w:r>
        <w:t xml:space="preserve">A method for therapeutic grief management through gamified blockchain-enabled memorial ritual comprising: registering participants through cryptographic credential issuance; training decedent simulant through progressive pre-death interaction or reverse post-death artifact reconstruction; encoding generational decoherence protocols restricting information accessibility across three-generation boundaries; scheduling temporal ceremonial events requiring synchronous multi-participant attendance; verifying participant co-location through combined NFC proximity detection and wireless network triangulation; activating simulant upon successful spatiotemporal validation; generating collective prompts through multiuser interface; rendering simulant responses through augmented reality vapor video field with photogrammetric environmental grounding; triggering olfactory responses including silence-through-scent for decoherence-protected queries; recording ceremony transcripts immutably to blockchain; and awarding non-transferable tokens for ritual participation and community support provision.</w:t>
      </w:r>
    </w:p>
    <w:p>
      <w:pPr>
        <w:pStyle w:val="ListParagraph"/>
        <w:numPr>
          <w:ilvl w:val="0"/>
          <w:numId w:val="2"/>
        </w:numPr>
      </w:pPr>
      <w:r>
        <w:t xml:space="preserve">The method of claim 15, wherein generational decoherence protocols implement progressive information abstraction across three generations, maintaining full accessibility to second-generation descendants while restricting third-generation access to protect family stability and preserve established resource management from potentially disruptive revelations.</w:t>
      </w:r>
    </w:p>
    <w:p>
      <w:pPr>
        <w:pStyle w:val="ListParagraph"/>
        <w:numPr>
          <w:ilvl w:val="0"/>
          <w:numId w:val="2"/>
        </w:numPr>
      </w:pPr>
      <w:r>
        <w:t xml:space="preserve">The method of claim 15, wherein simulant training incorporates explicit instructions regarding topics designated for silence-through-scent responses, enabling the preserved consciousness to honor question validity while maintaining protective legacy boundaries.</w:t>
      </w:r>
    </w:p>
    <w:p>
      <w:pPr>
        <w:pStyle w:val="ListParagraph"/>
        <w:numPr>
          <w:ilvl w:val="0"/>
          <w:numId w:val="2"/>
        </w:numPr>
      </w:pPr>
      <w:r>
        <w:t xml:space="preserve">The method of claim 15, further comprising community-sourced content generation wherein participants create guided meditation sequences, coping strategies, or educational content about specific loss types, subject to peer quality assessment with token rewards for highly-rated contributions.</w:t>
      </w:r>
    </w:p>
    <w:p>
      <w:pPr>
        <w:pStyle w:val="ListParagraph"/>
        <w:numPr>
          <w:ilvl w:val="0"/>
          <w:numId w:val="2"/>
        </w:numPr>
      </w:pPr>
      <w:r>
        <w:t xml:space="preserve">A non-transitory computer-readable medium storing instructions that, when executed by a processor, cause a computing system to: authenticate participants through blockchain credential verification; validate synchronous co-location through multi-factor spatial analysis combining NFC proximity, wireless network triangulation, and cryptographic liveness proofs; activate individually-trained LLM simulant upon successful spatiotemporal validation; process collective prompts through multiuser interface; generate responses conforming to pre-programmed generational decoherence protocols; trigger augmented reality rendering of vapor video field through photogrammetric environmental mapping; control olfactory response systems including silence-through-scent communication for decoherence-protected information; record immutable ceremony transcripts to blockchain; and update token balances based on ritual participation and community contribution quality.</w:t>
      </w:r>
    </w:p>
    <w:p>
      <w:pPr>
        <w:pStyle w:val="ListParagraph"/>
        <w:numPr>
          <w:ilvl w:val="0"/>
          <w:numId w:val="2"/>
        </w:numPr>
      </w:pPr>
      <w:r>
        <w:t xml:space="preserve">The computer-readable medium of claim 19, wherein generational decoherence protocols implement conditional response generation wherein third-generation queries regarding designated sensitive topics trigger olfactory responses rather than verbal information transfer, while second-generation queries regarding identical topics receive full verbal responses, thereby protecting family dynamics and resource stability across generational boundaries while maintaining legacy connection.</w:t>
      </w:r>
    </w:p>
    <w:p>
      <w:pPr>
        <w:spacing w:before="480"/>
      </w:pPr>
      <w:r>
        <w:rPr>
          <w:b/>
          <w:bCs/>
        </w:rPr>
        <w:t xml:space="preserve">***</w:t>
      </w:r>
    </w:p>
    <w:p>
      <w:pPr>
        <w:spacing w:before="240"/>
        <w:jc w:val="center"/>
      </w:pPr>
      <w:r>
        <w:rPr>
          <w:b/>
          <w:bCs/>
          <w:sz w:val="28"/>
          <w:szCs w:val="28"/>
        </w:rPr>
        <w:t xml:space="preserve">DRAWINGS TO FOLLOW</w:t>
      </w:r>
    </w:p>
    <w:p>
      <w:pPr>
        <w:spacing w:after="120"/>
        <w:jc w:val="center"/>
      </w:pPr>
      <w:r>
        <w:rPr>
          <w:i/>
          <w:iCs/>
        </w:rPr>
        <w:t xml:space="preserve">(System Architecture Diagram, Spatial Verification Flow, Blockchain Structure, AR Interface Mockup, Olfactory Controller Schematic)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Times New Roman" w:cs="Times New Roman" w:eastAsia="Times New Roman" w:hAnsi="Times New Roman"/>
      <w:b/>
      <w:bCs/>
      <w:color w:val="000000"/>
      <w:sz w:val="28"/>
      <w:szCs w:val="28"/>
    </w:rPr>
  </w:style>
  <w:style w:type="paragraph" w:styleId="Heading1">
    <w:name w:val="Heading 1"/>
    <w:basedOn w:val="Normal"/>
    <w:next w:val="Normal"/>
    <w:qFormat/>
    <w:pPr>
      <w:spacing w:before="240" w:after="180"/>
      <w:outlineLvl w:val="0"/>
    </w:pPr>
    <w:rPr>
      <w:rFonts w:ascii="Times New Roman" w:cs="Times New Roman" w:eastAsia="Times New Roman" w:hAnsi="Times New Roman"/>
      <w:b/>
      <w:bCs/>
      <w:caps/>
      <w:color w:val="000000"/>
      <w:sz w:val="28"/>
      <w:szCs w:val="28"/>
    </w:rPr>
  </w:style>
  <w:style w:type="paragraph" w:styleId="Heading2">
    <w:name w:val="Heading 2"/>
    <w:basedOn w:val="Normal"/>
    <w:next w:val="Normal"/>
    <w:qFormat/>
    <w:pPr>
      <w:spacing w:before="180" w:after="12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2025-12-13T17:58:53.105Z</dcterms:created>
  <dcterms:modified xsi:type="dcterms:W3CDTF">2025-12-13T17:58:53.106Z</dcterms:modified>
</cp:coreProperties>
</file>

<file path=docProps/custom.xml><?xml version="1.0" encoding="utf-8"?>
<Properties xmlns="http://schemas.openxmlformats.org/officeDocument/2006/custom-properties" xmlns:vt="http://schemas.openxmlformats.org/officeDocument/2006/docPropsVTypes"/>
</file>