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Times New Roman" w:hAnsi="Times New Roman"/>
          <w:b/>
          <w:color w:val="000000"/>
          <w:sz w:val="40"/>
        </w:rPr>
        <w:t>AI-BASED CAMPUS ENERGY CONSUMPTION</w:t>
        <w:br/>
        <w:t>AND ANOMALY DETECTION SYSTEM</w:t>
      </w:r>
    </w:p>
    <w:p>
      <w:pPr>
        <w:jc w:val="center"/>
      </w:pPr>
      <w:r>
        <w:rPr>
          <w:rFonts w:ascii="Times New Roman" w:hAnsi="Times New Roman"/>
          <w:b/>
          <w:color w:val="000000"/>
          <w:sz w:val="28"/>
        </w:rPr>
        <w:t>Research Article / Project Report</w:t>
      </w:r>
    </w:p>
    <w:p>
      <w:pPr>
        <w:spacing w:before="600"/>
        <w:jc w:val="center"/>
      </w:pPr>
      <w:r>
        <w:rPr>
          <w:rFonts w:ascii="Times New Roman" w:hAnsi="Times New Roman"/>
          <w:color w:val="000000"/>
          <w:sz w:val="22"/>
        </w:rPr>
        <w:t>A machine-learning approach to estimating expected building energy use</w:t>
        <w:br/>
        <w:t>and highlighting unusual consumption patterns</w:t>
      </w:r>
    </w:p>
    <w:p>
      <w:pPr>
        <w:spacing w:before="2000"/>
        <w:jc w:val="center"/>
      </w:pPr>
      <w:r>
        <w:rPr>
          <w:rFonts w:ascii="Times New Roman" w:hAnsi="Times New Roman"/>
          <w:color w:val="000000"/>
          <w:sz w:val="20"/>
        </w:rPr>
        <w:t>Prepared from the supplied project report and system architecture diagram</w:t>
      </w:r>
    </w:p>
    <w:p>
      <w:pPr>
        <w:jc w:val="center"/>
      </w:pPr>
      <w:r>
        <w:rPr>
          <w:rFonts w:ascii="Times New Roman" w:hAnsi="Times New Roman"/>
          <w:i/>
          <w:color w:val="000000"/>
          <w:sz w:val="18"/>
        </w:rPr>
        <w:t>Note: Dataset choice and measured experimental results were not included in the supplied materials.</w:t>
      </w:r>
    </w:p>
    <w:p>
      <w:r>
        <w:rPr>
          <w:rFonts w:ascii="Times New Roman" w:hAnsi="Times New Roman"/>
          <w:color w:val="000000"/>
        </w:rPr>
        <w:br w:type="page"/>
      </w:r>
    </w:p>
    <w:p>
      <w:pPr>
        <w:pStyle w:val="Heading1"/>
      </w:pPr>
      <w:r>
        <w:rPr>
          <w:rFonts w:ascii="Times New Roman" w:hAnsi="Times New Roman"/>
          <w:b/>
          <w:color w:val="000000"/>
        </w:rPr>
        <w:t>Abstract</w:t>
      </w:r>
    </w:p>
    <w:p>
      <w:r>
        <w:rPr>
          <w:rFonts w:ascii="Times New Roman" w:hAnsi="Times New Roman"/>
          <w:color w:val="000000"/>
        </w:rPr>
        <w:t>Campus buildings use electricity for classrooms, laboratories, libraries, offices, and shared facilities. Because demand changes with schedules, weather, building characteristics, and occupancy, a high reading does not always mean that energy is being wasted. The practical challenge is to recognise when consumption differs substantially from what would normally be expected and give campus staff enough context to investigate it. This project describes a machine-learning prototype designed to estimate expected energy consumption and flag unusual readings through a dashboard. The proposed pipeline includes data ingestion, preprocessing and exploratory analysis, time-based feature preparation, Random Forest Regression for energy prediction, residual-based deviation checks, and Isolation Forest for unsupervised anomaly detection. A dashboard is intended to show trends, actual-versus-predicted readings, alerts, severity, and available contextual information. The supplied architecture diagram also shows a FastAPI service, API modules for prediction and anomaly analysis, a telemetry explorer, model metrics, and persistence components. The materials provided do not identify the final dataset actually used or include measured model scores; therefore, this report does not claim a verified performance result. Instead, it documents the system design, evaluation plan, constraints, and steps required for a reproducible experiment. The main contribution is the integration of prediction, anomaly flagging, and understandable alert details into one campus-oriented workflow. Alerts are decision-support signals, not proof of equipment failure or confirmed energy waste.</w:t>
      </w:r>
    </w:p>
    <w:p>
      <w:r>
        <w:rPr>
          <w:rFonts w:ascii="Times New Roman" w:hAnsi="Times New Roman"/>
          <w:color w:val="000000"/>
        </w:rPr>
        <w:t>Keywords: building energy; energy prediction; anomaly detection; Random Forest; Isolation Forest; campus energy management</w:t>
      </w:r>
    </w:p>
    <w:p>
      <w:pPr>
        <w:pStyle w:val="Heading1"/>
      </w:pPr>
      <w:r>
        <w:rPr>
          <w:rFonts w:ascii="Times New Roman" w:hAnsi="Times New Roman"/>
          <w:b/>
          <w:color w:val="000000"/>
        </w:rPr>
        <w:t>1. Introduction</w:t>
      </w:r>
    </w:p>
    <w:p>
      <w:r>
        <w:rPr>
          <w:rFonts w:ascii="Times New Roman" w:hAnsi="Times New Roman"/>
          <w:color w:val="000000"/>
        </w:rPr>
        <w:t>Electricity use across a campus is rarely constant. A laboratory may draw more power during a practical session, a classroom may be empty overnight, and temperature changes can affect cooling demand. Campus administrators need to understand these patterns to plan operations and identify readings that deserve a closer look. When meter readings are inspected manually, unusual events may be difficult to notice across several buildings and long periods of data.</w:t>
      </w:r>
    </w:p>
    <w:p>
      <w:r>
        <w:rPr>
          <w:rFonts w:ascii="Times New Roman" w:hAnsi="Times New Roman"/>
          <w:color w:val="000000"/>
        </w:rPr>
        <w:t>Machine learning can help by learning typical consumption patterns from historical readings. A regression model estimates what consumption might be expected for a given building and time. The difference between the measured and predicted values can then be used as one signal of unusual behaviour. An unsupervised method such as Isolation Forest can provide a second signal by identifying observations that differ from common patterns. Combining these signals with a dashboard can make the results easier to review.</w:t>
      </w:r>
    </w:p>
    <w:p>
      <w:r>
        <w:rPr>
          <w:rFonts w:ascii="Times New Roman" w:hAnsi="Times New Roman"/>
          <w:color w:val="000000"/>
        </w:rPr>
        <w:t>This project focuses on a practical prototype rather than an automatic fault-diagnosis system. A detected anomaly may be caused by a genuine operational issue, a special event, a sensor problem, a change in occupancy, or a limitation in the model. Human review is therefore necessary before taking action.</w:t>
      </w:r>
    </w:p>
    <w:p>
      <w:r>
        <w:rPr>
          <w:rFonts w:ascii="Times New Roman" w:hAnsi="Times New Roman"/>
          <w:color w:val="000000"/>
        </w:rPr>
        <w:t>The work is organised around four objectives: (1) estimate expected energy consumption, (2) identify unusual readings, (3) show the evidence behind each alert, and (4) provide an interface for exploring trends and model outputs. The architecture supplied with the project adds an API layer and separate modules for telemetry, prediction, anomaly analysis, model metrics, and dashboard views.</w:t>
      </w:r>
    </w:p>
    <w:p>
      <w:pPr>
        <w:pStyle w:val="Heading1"/>
      </w:pPr>
      <w:r>
        <w:rPr>
          <w:rFonts w:ascii="Times New Roman" w:hAnsi="Times New Roman"/>
          <w:b/>
          <w:color w:val="000000"/>
        </w:rPr>
        <w:t>2. Related Work / Literature Review</w:t>
      </w:r>
    </w:p>
    <w:p>
      <w:r>
        <w:rPr>
          <w:rFonts w:ascii="Times New Roman" w:hAnsi="Times New Roman"/>
          <w:color w:val="000000"/>
        </w:rPr>
        <w:t>Recent research supports both sides of this project: forecasting expected building energy use and identifying unusual consumption. Review papers describe a wide range of statistical, machine-learning, and deep-learning methods, while individual studies explore residual analysis, clustering, local outlier detection, and neural approaches. The studies below provide context for the design; their reported results are not directly comparable because datasets, building types, sampling intervals, and evaluation protocols differ.</w:t>
      </w:r>
    </w:p>
    <w:p>
      <w:pPr>
        <w:spacing w:after="80"/>
      </w:pPr>
      <w:r>
        <w:rPr>
          <w:rFonts w:ascii="Times New Roman" w:hAnsi="Times New Roman"/>
          <w:b/>
          <w:color w:val="000000"/>
        </w:rPr>
        <w:t xml:space="preserve">1. Xu and Chen (2020). </w:t>
      </w:r>
      <w:r>
        <w:rPr>
          <w:rFonts w:ascii="Times New Roman" w:hAnsi="Times New Roman"/>
          <w:color w:val="000000"/>
        </w:rPr>
        <w:t xml:space="preserve">Presented a hybrid data-mining approach for anomaly detection in residential energy data, using recurrent neural networks and quantile regression. Their work highlights the difficulty of defining abnormal consumption consistently. </w:t>
      </w:r>
      <w:r>
        <w:rPr>
          <w:rFonts w:ascii="Times New Roman" w:hAnsi="Times New Roman"/>
          <w:color w:val="000000"/>
        </w:rPr>
        <w:t>DOI: https://doi.org/10.1016/j.enbuild.2020.109864.</w:t>
      </w:r>
    </w:p>
    <w:p>
      <w:pPr>
        <w:spacing w:after="80"/>
      </w:pPr>
      <w:r>
        <w:rPr>
          <w:rFonts w:ascii="Times New Roman" w:hAnsi="Times New Roman"/>
          <w:b/>
          <w:color w:val="000000"/>
        </w:rPr>
        <w:t xml:space="preserve">2. Himeur et al. (2021). </w:t>
      </w:r>
      <w:r>
        <w:rPr>
          <w:rFonts w:ascii="Times New Roman" w:hAnsi="Times New Roman"/>
          <w:color w:val="000000"/>
        </w:rPr>
        <w:t xml:space="preserve">Reviewed AI-based methods for detecting anomalous building energy consumption and discussed challenges including limited labelled data, inconsistent anomaly definitions, and evaluation practices. </w:t>
      </w:r>
      <w:r>
        <w:rPr>
          <w:rFonts w:ascii="Times New Roman" w:hAnsi="Times New Roman"/>
          <w:color w:val="000000"/>
        </w:rPr>
        <w:t>DOI: https://doi.org/10.1016/j.apenergy.2021.116601.</w:t>
      </w:r>
    </w:p>
    <w:p>
      <w:pPr>
        <w:spacing w:after="80"/>
      </w:pPr>
      <w:r>
        <w:rPr>
          <w:rFonts w:ascii="Times New Roman" w:hAnsi="Times New Roman"/>
          <w:b/>
          <w:color w:val="000000"/>
        </w:rPr>
        <w:t xml:space="preserve">3. Khalil et al. (2022). </w:t>
      </w:r>
      <w:r>
        <w:rPr>
          <w:rFonts w:ascii="Times New Roman" w:hAnsi="Times New Roman"/>
          <w:color w:val="000000"/>
        </w:rPr>
        <w:t xml:space="preserve">Systematically reviewed machine learning, deep learning, and statistical methods for building energy forecasting, organising research by data, preprocessing, model family, and evaluation metrics. </w:t>
      </w:r>
      <w:r>
        <w:rPr>
          <w:rFonts w:ascii="Times New Roman" w:hAnsi="Times New Roman"/>
          <w:color w:val="000000"/>
        </w:rPr>
        <w:t>DOI: https://doi.org/10.1016/j.engappai.2022.105287.</w:t>
      </w:r>
    </w:p>
    <w:p>
      <w:pPr>
        <w:spacing w:after="80"/>
      </w:pPr>
      <w:r>
        <w:rPr>
          <w:rFonts w:ascii="Times New Roman" w:hAnsi="Times New Roman"/>
          <w:b/>
          <w:color w:val="000000"/>
        </w:rPr>
        <w:t xml:space="preserve">4. Ardabili et al. (2022). </w:t>
      </w:r>
      <w:r>
        <w:rPr>
          <w:rFonts w:ascii="Times New Roman" w:hAnsi="Times New Roman"/>
          <w:color w:val="000000"/>
        </w:rPr>
        <w:t xml:space="preserve">Reviewed machine-learning and deep-learning approaches for building energy prediction, showing the breadth of data-driven methods used in energy-related applications. </w:t>
      </w:r>
      <w:r>
        <w:rPr>
          <w:rFonts w:ascii="Times New Roman" w:hAnsi="Times New Roman"/>
          <w:color w:val="000000"/>
        </w:rPr>
        <w:t>DOI: https://doi.org/10.3389/fenrg.2022.786027.</w:t>
      </w:r>
    </w:p>
    <w:p>
      <w:pPr>
        <w:spacing w:after="80"/>
      </w:pPr>
      <w:r>
        <w:rPr>
          <w:rFonts w:ascii="Times New Roman" w:hAnsi="Times New Roman"/>
          <w:b/>
          <w:color w:val="000000"/>
        </w:rPr>
        <w:t xml:space="preserve">5. Physical and data-driven modelling review (2022). </w:t>
      </w:r>
      <w:r>
        <w:rPr>
          <w:rFonts w:ascii="Times New Roman" w:hAnsi="Times New Roman"/>
          <w:color w:val="000000"/>
        </w:rPr>
        <w:t xml:space="preserve">Compared physical, data-driven, and hybrid approaches to building energy prediction and discussed the trade-offs between model transparency, accuracy, and practical use. </w:t>
      </w:r>
      <w:r>
        <w:rPr>
          <w:rFonts w:ascii="Times New Roman" w:hAnsi="Times New Roman"/>
          <w:color w:val="000000"/>
        </w:rPr>
        <w:t>DOI: https://doi.org/10.1016/j.egyr.2022.01.162.</w:t>
      </w:r>
    </w:p>
    <w:p>
      <w:pPr>
        <w:spacing w:after="80"/>
      </w:pPr>
      <w:r>
        <w:rPr>
          <w:rFonts w:ascii="Times New Roman" w:hAnsi="Times New Roman"/>
          <w:b/>
          <w:color w:val="000000"/>
        </w:rPr>
        <w:t xml:space="preserve">6. Machine-learning anomaly framework (2023). </w:t>
      </w:r>
      <w:r>
        <w:rPr>
          <w:rFonts w:ascii="Times New Roman" w:hAnsi="Times New Roman"/>
          <w:color w:val="000000"/>
        </w:rPr>
        <w:t xml:space="preserve">Mascali and colleagues presented a framework for anomaly detection in building electricity-consumption data, motivated by the need to identify deviations from an expected baseline. </w:t>
      </w:r>
      <w:r>
        <w:rPr>
          <w:rFonts w:ascii="Times New Roman" w:hAnsi="Times New Roman"/>
          <w:color w:val="000000"/>
        </w:rPr>
        <w:t>DOI: https://doi.org/10.1016/j.segan.2023.101194.</w:t>
      </w:r>
    </w:p>
    <w:p>
      <w:pPr>
        <w:spacing w:after="80"/>
      </w:pPr>
      <w:r>
        <w:rPr>
          <w:rFonts w:ascii="Times New Roman" w:hAnsi="Times New Roman"/>
          <w:b/>
          <w:color w:val="000000"/>
        </w:rPr>
        <w:t xml:space="preserve">7. Dynamic anomaly detection study (2023). </w:t>
      </w:r>
      <w:r>
        <w:rPr>
          <w:rFonts w:ascii="Times New Roman" w:hAnsi="Times New Roman"/>
          <w:color w:val="000000"/>
        </w:rPr>
        <w:t xml:space="preserve">Proposed a dynamic approach combining clustering and local outlier detection for point anomalies, with dynamic time warping for collective anomalies. </w:t>
      </w:r>
      <w:r>
        <w:rPr>
          <w:rFonts w:ascii="Times New Roman" w:hAnsi="Times New Roman"/>
          <w:color w:val="000000"/>
        </w:rPr>
        <w:t>DOI: https://doi.org/10.1016/j.energy.2022.125575.</w:t>
      </w:r>
    </w:p>
    <w:p>
      <w:pPr>
        <w:spacing w:after="80"/>
      </w:pPr>
      <w:r>
        <w:rPr>
          <w:rFonts w:ascii="Times New Roman" w:hAnsi="Times New Roman"/>
          <w:b/>
          <w:color w:val="000000"/>
        </w:rPr>
        <w:t xml:space="preserve">8. Copiaco et al. (2023). </w:t>
      </w:r>
      <w:r>
        <w:rPr>
          <w:rFonts w:ascii="Times New Roman" w:hAnsi="Times New Roman"/>
          <w:color w:val="000000"/>
        </w:rPr>
        <w:t xml:space="preserve">Explored deep anomaly detection by transforming energy time series into image representations and using neural-network features, offering an alternative to treating readings only as one-dimensional sequences. </w:t>
      </w:r>
      <w:r>
        <w:rPr>
          <w:rFonts w:ascii="Times New Roman" w:hAnsi="Times New Roman"/>
          <w:color w:val="000000"/>
        </w:rPr>
        <w:t>DOI: https://doi.org/10.1016/j.engappai.2022.105775.</w:t>
      </w:r>
    </w:p>
    <w:p>
      <w:pPr>
        <w:spacing w:after="80"/>
      </w:pPr>
      <w:r>
        <w:rPr>
          <w:rFonts w:ascii="Times New Roman" w:hAnsi="Times New Roman"/>
          <w:b/>
          <w:color w:val="000000"/>
        </w:rPr>
        <w:t xml:space="preserve">9. Zhang et al. (2023). </w:t>
      </w:r>
      <w:r>
        <w:rPr>
          <w:rFonts w:ascii="Times New Roman" w:hAnsi="Times New Roman"/>
          <w:color w:val="000000"/>
        </w:rPr>
        <w:t xml:space="preserve">Investigated building energy anomaly detection in multivariate time series using a graph-attention mechanism, addressing relationships among multiple variables rather than relying on one series alone. </w:t>
      </w:r>
      <w:r>
        <w:rPr>
          <w:rFonts w:ascii="Times New Roman" w:hAnsi="Times New Roman"/>
          <w:color w:val="000000"/>
        </w:rPr>
        <w:t>DOI: https://doi.org/10.1371/journal.pone.0286770.</w:t>
      </w:r>
    </w:p>
    <w:p>
      <w:pPr>
        <w:spacing w:after="80"/>
      </w:pPr>
      <w:r>
        <w:rPr>
          <w:rFonts w:ascii="Times New Roman" w:hAnsi="Times New Roman"/>
          <w:b/>
          <w:color w:val="000000"/>
        </w:rPr>
        <w:t xml:space="preserve">10. Lei et al. (2024). </w:t>
      </w:r>
      <w:r>
        <w:rPr>
          <w:rFonts w:ascii="Times New Roman" w:hAnsi="Times New Roman"/>
          <w:color w:val="000000"/>
        </w:rPr>
        <w:t xml:space="preserve">Combined clustering, Random Forest-based feature selection, and a bidirectional LSTM model for building energy prediction, illustrating how feature selection and sequence learning can be combined. </w:t>
      </w:r>
      <w:r>
        <w:rPr>
          <w:rFonts w:ascii="Times New Roman" w:hAnsi="Times New Roman"/>
          <w:color w:val="000000"/>
        </w:rPr>
        <w:t>DOI: https://doi.org/10.1016/j.energy.2023.129795.</w:t>
      </w:r>
    </w:p>
    <w:p>
      <w:r>
        <w:rPr>
          <w:rFonts w:ascii="Times New Roman" w:hAnsi="Times New Roman"/>
          <w:color w:val="000000"/>
        </w:rPr>
        <w:t>Research gap and design choice. Existing work includes sophisticated sequence models and specialised anomaly detectors, but these may require more data, tuning, and computational effort than a small prototype can support. This project adopts a simpler, explainable workflow: Random Forest Regression provides an expected-consumption baseline, while residual checks and Isolation Forest highlight readings for review. A fair comparison with the literature would require running experiments on the same dataset and protocol; the current materials do not provide that evidence.</w:t>
      </w:r>
    </w:p>
    <w:p>
      <w:pPr>
        <w:pStyle w:val="Heading1"/>
      </w:pPr>
      <w:r>
        <w:rPr>
          <w:rFonts w:ascii="Times New Roman" w:hAnsi="Times New Roman"/>
          <w:b/>
          <w:color w:val="000000"/>
        </w:rPr>
        <w:t>3. Problem Definition and Objectives</w:t>
      </w:r>
    </w:p>
    <w:p>
      <w:r>
        <w:rPr>
          <w:rFonts w:ascii="Times New Roman" w:hAnsi="Times New Roman"/>
          <w:color w:val="000000"/>
        </w:rPr>
        <w:t>Problem statement: Given historical building energy readings, timestamps, building metadata, and available environmental variables, estimate expected consumption and identify observations that depart from typical patterns. Present each flagged observation with enough context for an administrator to decide whether further investigation is warranted.</w:t>
      </w:r>
    </w:p>
    <w:p>
      <w:pPr>
        <w:pStyle w:val="Heading2"/>
      </w:pPr>
      <w:r>
        <w:rPr>
          <w:rFonts w:ascii="Times New Roman" w:hAnsi="Times New Roman"/>
          <w:b/>
          <w:color w:val="000000"/>
        </w:rPr>
        <w:t>3.1 Stakeholders and inputs</w:t>
      </w:r>
    </w:p>
    <w:p>
      <w:pPr>
        <w:pStyle w:val="ListBullet"/>
        <w:spacing w:after="40"/>
        <w:ind w:left="360"/>
      </w:pPr>
      <w:r>
        <w:rPr>
          <w:rFonts w:ascii="Times New Roman" w:hAnsi="Times New Roman"/>
          <w:color w:val="000000"/>
        </w:rPr>
        <w:t>Primary users: campus administrators, facility managers, energy officers, and technical staff responsible for reviewing meter readings.</w:t>
      </w:r>
    </w:p>
    <w:p>
      <w:pPr>
        <w:pStyle w:val="ListBullet"/>
        <w:spacing w:after="40"/>
        <w:ind w:left="360"/>
      </w:pPr>
      <w:r>
        <w:rPr>
          <w:rFonts w:ascii="Times New Roman" w:hAnsi="Times New Roman"/>
          <w:color w:val="000000"/>
        </w:rPr>
        <w:t>Inputs: meter readings, timestamps, building identifiers or metadata, and weather or environmental fields when available.</w:t>
      </w:r>
    </w:p>
    <w:p>
      <w:pPr>
        <w:pStyle w:val="ListBullet"/>
        <w:spacing w:after="40"/>
        <w:ind w:left="360"/>
      </w:pPr>
      <w:r>
        <w:rPr>
          <w:rFonts w:ascii="Times New Roman" w:hAnsi="Times New Roman"/>
          <w:color w:val="000000"/>
        </w:rPr>
        <w:t>Outputs: predicted consumption, deviation from the prediction, anomaly flags, severity labels, and dashboard summaries.</w:t>
      </w:r>
    </w:p>
    <w:p>
      <w:pPr>
        <w:pStyle w:val="Heading2"/>
      </w:pPr>
      <w:r>
        <w:rPr>
          <w:rFonts w:ascii="Times New Roman" w:hAnsi="Times New Roman"/>
          <w:b/>
          <w:color w:val="000000"/>
        </w:rPr>
        <w:t>3.2 Objectives</w:t>
      </w:r>
    </w:p>
    <w:p>
      <w:pPr>
        <w:pStyle w:val="ListBullet"/>
        <w:spacing w:after="40"/>
        <w:ind w:left="360"/>
      </w:pPr>
      <w:r>
        <w:rPr>
          <w:rFonts w:ascii="Times New Roman" w:hAnsi="Times New Roman"/>
          <w:color w:val="000000"/>
        </w:rPr>
        <w:t>Build a data pipeline that checks the quality and consistency of meter readings.</w:t>
      </w:r>
    </w:p>
    <w:p>
      <w:pPr>
        <w:pStyle w:val="ListBullet"/>
        <w:spacing w:after="40"/>
        <w:ind w:left="360"/>
      </w:pPr>
      <w:r>
        <w:rPr>
          <w:rFonts w:ascii="Times New Roman" w:hAnsi="Times New Roman"/>
          <w:color w:val="000000"/>
        </w:rPr>
        <w:t>Create time-related and building-related features where supported by the selected dataset.</w:t>
      </w:r>
    </w:p>
    <w:p>
      <w:pPr>
        <w:pStyle w:val="ListBullet"/>
        <w:spacing w:after="40"/>
        <w:ind w:left="360"/>
      </w:pPr>
      <w:r>
        <w:rPr>
          <w:rFonts w:ascii="Times New Roman" w:hAnsi="Times New Roman"/>
          <w:color w:val="000000"/>
        </w:rPr>
        <w:t>Train a regression model to estimate expected consumption.</w:t>
      </w:r>
    </w:p>
    <w:p>
      <w:pPr>
        <w:pStyle w:val="ListBullet"/>
        <w:spacing w:after="40"/>
        <w:ind w:left="360"/>
      </w:pPr>
      <w:r>
        <w:rPr>
          <w:rFonts w:ascii="Times New Roman" w:hAnsi="Times New Roman"/>
          <w:color w:val="000000"/>
        </w:rPr>
        <w:t>Flag unusual observations using residual thresholds and Isolation Forest.</w:t>
      </w:r>
    </w:p>
    <w:p>
      <w:pPr>
        <w:pStyle w:val="ListBullet"/>
        <w:spacing w:after="40"/>
        <w:ind w:left="360"/>
      </w:pPr>
      <w:r>
        <w:rPr>
          <w:rFonts w:ascii="Times New Roman" w:hAnsi="Times New Roman"/>
          <w:color w:val="000000"/>
        </w:rPr>
        <w:t>Present trends and alert context through a dashboard/API workflow.</w:t>
      </w:r>
    </w:p>
    <w:p>
      <w:pPr>
        <w:pStyle w:val="ListBullet"/>
        <w:spacing w:after="40"/>
        <w:ind w:left="360"/>
      </w:pPr>
      <w:r>
        <w:rPr>
          <w:rFonts w:ascii="Times New Roman" w:hAnsi="Times New Roman"/>
          <w:color w:val="000000"/>
        </w:rPr>
        <w:t>Evaluate prediction quality with MAE, RMSE, and R², and document anomaly-review limitations.</w:t>
      </w:r>
    </w:p>
    <w:p>
      <w:pPr>
        <w:pStyle w:val="Heading2"/>
      </w:pPr>
      <w:r>
        <w:rPr>
          <w:rFonts w:ascii="Times New Roman" w:hAnsi="Times New Roman"/>
          <w:b/>
          <w:color w:val="000000"/>
        </w:rPr>
        <w:t>3.3 Research questions</w:t>
      </w:r>
    </w:p>
    <w:p>
      <w:pPr>
        <w:pStyle w:val="ListBullet"/>
        <w:spacing w:after="40"/>
        <w:ind w:left="360"/>
      </w:pPr>
      <w:r>
        <w:rPr>
          <w:rFonts w:ascii="Times New Roman" w:hAnsi="Times New Roman"/>
          <w:color w:val="000000"/>
        </w:rPr>
        <w:t>How closely can a Random Forest model estimate energy consumption on held-out data?</w:t>
      </w:r>
    </w:p>
    <w:p>
      <w:pPr>
        <w:pStyle w:val="ListBullet"/>
        <w:spacing w:after="40"/>
        <w:ind w:left="360"/>
      </w:pPr>
      <w:r>
        <w:rPr>
          <w:rFonts w:ascii="Times New Roman" w:hAnsi="Times New Roman"/>
          <w:color w:val="000000"/>
        </w:rPr>
        <w:t>Can residual-based checks and Isolation Forest highlight readings that merit human review?</w:t>
      </w:r>
    </w:p>
    <w:p>
      <w:pPr>
        <w:pStyle w:val="ListBullet"/>
        <w:spacing w:after="40"/>
        <w:ind w:left="360"/>
      </w:pPr>
      <w:r>
        <w:rPr>
          <w:rFonts w:ascii="Times New Roman" w:hAnsi="Times New Roman"/>
          <w:color w:val="000000"/>
        </w:rPr>
        <w:t>Does showing actual, predicted, deviation, time, and building information make alerts easier to interpret? The last question requires usability testing and is not yet answered by the supplied materials.</w:t>
      </w:r>
    </w:p>
    <w:p>
      <w:pPr>
        <w:pStyle w:val="Heading1"/>
      </w:pPr>
      <w:r>
        <w:rPr>
          <w:rFonts w:ascii="Times New Roman" w:hAnsi="Times New Roman"/>
          <w:b/>
          <w:color w:val="000000"/>
        </w:rPr>
        <w:t>4. Dataset Description</w:t>
      </w:r>
    </w:p>
    <w:p>
      <w:r>
        <w:rPr>
          <w:rFonts w:ascii="Times New Roman" w:hAnsi="Times New Roman"/>
          <w:color w:val="000000"/>
        </w:rPr>
        <w:t>The supplied project report names two candidate public datasets: Building Data Genome Project 2 (BDG2) and the ASHRAE Great Energy Predictor III dataset. It does not confirm which dataset was downloaded and used. For that reason, the final dataset is left explicitly unconfirmed rather than presenting either source as the completed experimental dataset.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color w:val="000000"/>
                <w:sz w:val="18"/>
              </w:rPr>
              <w:t>Item</w:t>
            </w:r>
          </w:p>
        </w:tc>
        <w:tc>
          <w:tcPr>
            <w:tcW w:type="dxa" w:w="4968"/>
            <w:vAlign w:val="center"/>
          </w:tcPr>
          <w:p>
            <w:r>
              <w:rPr>
                <w:rFonts w:ascii="Times New Roman" w:hAnsi="Times New Roman"/>
                <w:b/>
                <w:color w:val="000000"/>
                <w:sz w:val="18"/>
              </w:rPr>
              <w:t>What must be recorded in the final experiment</w:t>
            </w:r>
          </w:p>
        </w:tc>
      </w:tr>
      <w:tr>
        <w:tc>
          <w:tcPr>
            <w:tcW w:type="dxa" w:w="4968"/>
            <w:vAlign w:val="center"/>
          </w:tcPr>
          <w:p>
            <w:pPr>
              <w:spacing w:after="20"/>
            </w:pPr>
            <w:r>
              <w:rPr>
                <w:rFonts w:ascii="Times New Roman" w:hAnsi="Times New Roman"/>
                <w:color w:val="000000"/>
                <w:sz w:val="17"/>
              </w:rPr>
              <w:t>Selected source</w:t>
            </w:r>
          </w:p>
        </w:tc>
        <w:tc>
          <w:tcPr>
            <w:tcW w:type="dxa" w:w="4968"/>
            <w:vAlign w:val="center"/>
          </w:tcPr>
          <w:p>
            <w:pPr>
              <w:spacing w:after="20"/>
            </w:pPr>
            <w:r>
              <w:rPr>
                <w:rFonts w:ascii="Times New Roman" w:hAnsi="Times New Roman"/>
                <w:color w:val="000000"/>
                <w:sz w:val="17"/>
              </w:rPr>
              <w:t>Confirm BDG2 or ASHRAE Great Energy Predictor III and provide the exact download/source URL.</w:t>
            </w:r>
          </w:p>
        </w:tc>
      </w:tr>
      <w:tr>
        <w:tc>
          <w:tcPr>
            <w:tcW w:type="dxa" w:w="4968"/>
            <w:vAlign w:val="center"/>
          </w:tcPr>
          <w:p>
            <w:pPr>
              <w:spacing w:after="20"/>
            </w:pPr>
            <w:r>
              <w:rPr>
                <w:rFonts w:ascii="Times New Roman" w:hAnsi="Times New Roman"/>
                <w:color w:val="000000"/>
                <w:sz w:val="17"/>
              </w:rPr>
              <w:t>Records and period</w:t>
            </w:r>
          </w:p>
        </w:tc>
        <w:tc>
          <w:tcPr>
            <w:tcW w:type="dxa" w:w="4968"/>
            <w:vAlign w:val="center"/>
          </w:tcPr>
          <w:p>
            <w:pPr>
              <w:spacing w:after="20"/>
            </w:pPr>
            <w:r>
              <w:rPr>
                <w:rFonts w:ascii="Times New Roman" w:hAnsi="Times New Roman"/>
                <w:color w:val="000000"/>
                <w:sz w:val="17"/>
              </w:rPr>
              <w:t>Number of rows, date range, sampling interval, and number of buildings after filtering.</w:t>
            </w:r>
          </w:p>
        </w:tc>
      </w:tr>
      <w:tr>
        <w:tc>
          <w:tcPr>
            <w:tcW w:type="dxa" w:w="4968"/>
            <w:vAlign w:val="center"/>
          </w:tcPr>
          <w:p>
            <w:pPr>
              <w:spacing w:after="20"/>
            </w:pPr>
            <w:r>
              <w:rPr>
                <w:rFonts w:ascii="Times New Roman" w:hAnsi="Times New Roman"/>
                <w:color w:val="000000"/>
                <w:sz w:val="17"/>
              </w:rPr>
              <w:t>Target</w:t>
            </w:r>
          </w:p>
        </w:tc>
        <w:tc>
          <w:tcPr>
            <w:tcW w:type="dxa" w:w="4968"/>
            <w:vAlign w:val="center"/>
          </w:tcPr>
          <w:p>
            <w:pPr>
              <w:spacing w:after="20"/>
            </w:pPr>
            <w:r>
              <w:rPr>
                <w:rFonts w:ascii="Times New Roman" w:hAnsi="Times New Roman"/>
                <w:color w:val="000000"/>
                <w:sz w:val="17"/>
              </w:rPr>
              <w:t>Exact meter type and energy-consumption field; document its units.</w:t>
            </w:r>
          </w:p>
        </w:tc>
      </w:tr>
      <w:tr>
        <w:tc>
          <w:tcPr>
            <w:tcW w:type="dxa" w:w="4968"/>
            <w:vAlign w:val="center"/>
          </w:tcPr>
          <w:p>
            <w:pPr>
              <w:spacing w:after="20"/>
            </w:pPr>
            <w:r>
              <w:rPr>
                <w:rFonts w:ascii="Times New Roman" w:hAnsi="Times New Roman"/>
                <w:color w:val="000000"/>
                <w:sz w:val="17"/>
              </w:rPr>
              <w:t>Features</w:t>
            </w:r>
          </w:p>
        </w:tc>
        <w:tc>
          <w:tcPr>
            <w:tcW w:type="dxa" w:w="4968"/>
            <w:vAlign w:val="center"/>
          </w:tcPr>
          <w:p>
            <w:pPr>
              <w:spacing w:after="20"/>
            </w:pPr>
            <w:r>
              <w:rPr>
                <w:rFonts w:ascii="Times New Roman" w:hAnsi="Times New Roman"/>
                <w:color w:val="000000"/>
                <w:sz w:val="17"/>
              </w:rPr>
              <w:t>Timestamp-derived features, building metadata, and weather fields actually retained.</w:t>
            </w:r>
          </w:p>
        </w:tc>
      </w:tr>
      <w:tr>
        <w:tc>
          <w:tcPr>
            <w:tcW w:type="dxa" w:w="4968"/>
            <w:vAlign w:val="center"/>
          </w:tcPr>
          <w:p>
            <w:pPr>
              <w:spacing w:after="20"/>
            </w:pPr>
            <w:r>
              <w:rPr>
                <w:rFonts w:ascii="Times New Roman" w:hAnsi="Times New Roman"/>
                <w:color w:val="000000"/>
                <w:sz w:val="17"/>
              </w:rPr>
              <w:t>Labels</w:t>
            </w:r>
          </w:p>
        </w:tc>
        <w:tc>
          <w:tcPr>
            <w:tcW w:type="dxa" w:w="4968"/>
            <w:vAlign w:val="center"/>
          </w:tcPr>
          <w:p>
            <w:pPr>
              <w:spacing w:after="20"/>
            </w:pPr>
            <w:r>
              <w:rPr>
                <w:rFonts w:ascii="Times New Roman" w:hAnsi="Times New Roman"/>
                <w:color w:val="000000"/>
                <w:sz w:val="17"/>
              </w:rPr>
              <w:t>Clarify whether anomaly labels exist. If not, treat anomaly detection as unsupervised and do not report supervised accuracy.</w:t>
            </w:r>
          </w:p>
        </w:tc>
      </w:tr>
      <w:tr>
        <w:tc>
          <w:tcPr>
            <w:tcW w:type="dxa" w:w="4968"/>
            <w:vAlign w:val="center"/>
          </w:tcPr>
          <w:p>
            <w:pPr>
              <w:spacing w:after="20"/>
            </w:pPr>
            <w:r>
              <w:rPr>
                <w:rFonts w:ascii="Times New Roman" w:hAnsi="Times New Roman"/>
                <w:color w:val="000000"/>
                <w:sz w:val="17"/>
              </w:rPr>
              <w:t>Quality checks</w:t>
            </w:r>
          </w:p>
        </w:tc>
        <w:tc>
          <w:tcPr>
            <w:tcW w:type="dxa" w:w="4968"/>
            <w:vAlign w:val="center"/>
          </w:tcPr>
          <w:p>
            <w:pPr>
              <w:spacing w:after="20"/>
            </w:pPr>
            <w:r>
              <w:rPr>
                <w:rFonts w:ascii="Times New Roman" w:hAnsi="Times New Roman"/>
                <w:color w:val="000000"/>
                <w:sz w:val="17"/>
              </w:rPr>
              <w:t>Missing values, duplicates, invalid readings, negative values, timestamp alignment, and any exclusions.</w:t>
            </w:r>
          </w:p>
        </w:tc>
      </w:tr>
      <w:tr>
        <w:tc>
          <w:tcPr>
            <w:tcW w:type="dxa" w:w="4968"/>
            <w:vAlign w:val="center"/>
          </w:tcPr>
          <w:p>
            <w:pPr>
              <w:spacing w:after="20"/>
            </w:pPr>
            <w:r>
              <w:rPr>
                <w:rFonts w:ascii="Times New Roman" w:hAnsi="Times New Roman"/>
                <w:color w:val="000000"/>
                <w:sz w:val="17"/>
              </w:rPr>
              <w:t>Licence and restrictions</w:t>
            </w:r>
          </w:p>
        </w:tc>
        <w:tc>
          <w:tcPr>
            <w:tcW w:type="dxa" w:w="4968"/>
            <w:vAlign w:val="center"/>
          </w:tcPr>
          <w:p>
            <w:pPr>
              <w:spacing w:after="20"/>
            </w:pPr>
            <w:r>
              <w:rPr>
                <w:rFonts w:ascii="Times New Roman" w:hAnsi="Times New Roman"/>
                <w:color w:val="000000"/>
                <w:sz w:val="17"/>
              </w:rPr>
              <w:t>Record the dataset's licence/terms and any conditions on redistribution or commercial use.</w:t>
            </w:r>
          </w:p>
        </w:tc>
      </w:tr>
      <w:tr>
        <w:tc>
          <w:tcPr>
            <w:tcW w:type="dxa" w:w="4968"/>
            <w:vAlign w:val="center"/>
          </w:tcPr>
          <w:p>
            <w:pPr>
              <w:spacing w:after="20"/>
            </w:pPr>
            <w:r>
              <w:rPr>
                <w:rFonts w:ascii="Times New Roman" w:hAnsi="Times New Roman"/>
                <w:color w:val="000000"/>
                <w:sz w:val="17"/>
              </w:rPr>
              <w:t>Limitations</w:t>
            </w:r>
          </w:p>
        </w:tc>
        <w:tc>
          <w:tcPr>
            <w:tcW w:type="dxa" w:w="4968"/>
            <w:vAlign w:val="center"/>
          </w:tcPr>
          <w:p>
            <w:pPr>
              <w:spacing w:after="20"/>
            </w:pPr>
            <w:r>
              <w:rPr>
                <w:rFonts w:ascii="Times New Roman" w:hAnsi="Times New Roman"/>
                <w:color w:val="000000"/>
                <w:sz w:val="17"/>
              </w:rPr>
              <w:t>Potential missing data, sensor errors, differences between buildings, seasonal coverage, and limited anomaly ground truth.</w:t>
            </w:r>
          </w:p>
        </w:tc>
      </w:tr>
    </w:tbl>
    <w:p/>
    <w:p>
      <w:r>
        <w:rPr>
          <w:rFonts w:ascii="Times New Roman" w:hAnsi="Times New Roman"/>
          <w:color w:val="000000"/>
        </w:rPr>
        <w:t>Dataset handling plan. Load the selected files into a tabular format, inspect column types and timestamps, verify units, remove or resolve duplicates where justified, and examine missing values. If weather data is joined, match it carefully by time and relevant location. Report the final row count only after preprocessing. Avoid treating an absence of labelled anomalies as proof that the detector is accurate.</w:t>
      </w:r>
    </w:p>
    <w:p>
      <w:pPr>
        <w:pStyle w:val="Heading1"/>
      </w:pPr>
      <w:r>
        <w:rPr>
          <w:rFonts w:ascii="Times New Roman" w:hAnsi="Times New Roman"/>
          <w:b/>
          <w:color w:val="000000"/>
        </w:rPr>
        <w:t>5. Methodology</w:t>
      </w:r>
    </w:p>
    <w:p>
      <w:r>
        <w:rPr>
          <w:rFonts w:ascii="Times New Roman" w:hAnsi="Times New Roman"/>
          <w:color w:val="000000"/>
        </w:rPr>
        <w:t>The proposed pipeline moves from raw meter data to a reviewed alert. The steps are designed so that the same cleaned records and evaluation split can be used consistently when models are compared.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rFonts w:ascii="Times New Roman" w:hAnsi="Times New Roman"/>
                <w:b/>
                <w:color w:val="000000"/>
                <w:sz w:val="18"/>
              </w:rPr>
              <w:t>Stage</w:t>
            </w:r>
          </w:p>
        </w:tc>
        <w:tc>
          <w:tcPr>
            <w:tcW w:type="dxa" w:w="3312"/>
            <w:vAlign w:val="center"/>
          </w:tcPr>
          <w:p>
            <w:r>
              <w:rPr>
                <w:rFonts w:ascii="Times New Roman" w:hAnsi="Times New Roman"/>
                <w:b/>
                <w:color w:val="000000"/>
                <w:sz w:val="18"/>
              </w:rPr>
              <w:t>Main activities</w:t>
            </w:r>
          </w:p>
        </w:tc>
        <w:tc>
          <w:tcPr>
            <w:tcW w:type="dxa" w:w="3312"/>
            <w:vAlign w:val="center"/>
          </w:tcPr>
          <w:p>
            <w:r>
              <w:rPr>
                <w:rFonts w:ascii="Times New Roman" w:hAnsi="Times New Roman"/>
                <w:b/>
                <w:color w:val="000000"/>
                <w:sz w:val="18"/>
              </w:rPr>
              <w:t>Technique / output</w:t>
            </w:r>
          </w:p>
        </w:tc>
      </w:tr>
      <w:tr>
        <w:tc>
          <w:tcPr>
            <w:tcW w:type="dxa" w:w="3312"/>
            <w:vAlign w:val="center"/>
          </w:tcPr>
          <w:p>
            <w:pPr>
              <w:spacing w:after="20"/>
            </w:pPr>
            <w:r>
              <w:rPr>
                <w:rFonts w:ascii="Times New Roman" w:hAnsi="Times New Roman"/>
                <w:color w:val="000000"/>
                <w:sz w:val="17"/>
              </w:rPr>
              <w:t>1. Data ingestion</w:t>
            </w:r>
          </w:p>
        </w:tc>
        <w:tc>
          <w:tcPr>
            <w:tcW w:type="dxa" w:w="3312"/>
            <w:vAlign w:val="center"/>
          </w:tcPr>
          <w:p>
            <w:pPr>
              <w:spacing w:after="20"/>
            </w:pPr>
            <w:r>
              <w:rPr>
                <w:rFonts w:ascii="Times New Roman" w:hAnsi="Times New Roman"/>
                <w:color w:val="000000"/>
                <w:sz w:val="17"/>
              </w:rPr>
              <w:t>Load selected energy and metadata files; validate schema and timestamps.</w:t>
            </w:r>
          </w:p>
        </w:tc>
        <w:tc>
          <w:tcPr>
            <w:tcW w:type="dxa" w:w="3312"/>
            <w:vAlign w:val="center"/>
          </w:tcPr>
          <w:p>
            <w:pPr>
              <w:spacing w:after="20"/>
            </w:pPr>
            <w:r>
              <w:rPr>
                <w:rFonts w:ascii="Times New Roman" w:hAnsi="Times New Roman"/>
                <w:color w:val="000000"/>
                <w:sz w:val="17"/>
              </w:rPr>
              <w:t>Pandas; data-type and schema checks.</w:t>
            </w:r>
          </w:p>
        </w:tc>
      </w:tr>
      <w:tr>
        <w:tc>
          <w:tcPr>
            <w:tcW w:type="dxa" w:w="3312"/>
            <w:vAlign w:val="center"/>
          </w:tcPr>
          <w:p>
            <w:pPr>
              <w:spacing w:after="20"/>
            </w:pPr>
            <w:r>
              <w:rPr>
                <w:rFonts w:ascii="Times New Roman" w:hAnsi="Times New Roman"/>
                <w:color w:val="000000"/>
                <w:sz w:val="17"/>
              </w:rPr>
              <w:t>2. Data preparation</w:t>
            </w:r>
          </w:p>
        </w:tc>
        <w:tc>
          <w:tcPr>
            <w:tcW w:type="dxa" w:w="3312"/>
            <w:vAlign w:val="center"/>
          </w:tcPr>
          <w:p>
            <w:pPr>
              <w:spacing w:after="20"/>
            </w:pPr>
            <w:r>
              <w:rPr>
                <w:rFonts w:ascii="Times New Roman" w:hAnsi="Times New Roman"/>
                <w:color w:val="000000"/>
                <w:sz w:val="17"/>
              </w:rPr>
              <w:t>Inspect missing data, duplicates, invalid values, and unit consistency.</w:t>
            </w:r>
          </w:p>
        </w:tc>
        <w:tc>
          <w:tcPr>
            <w:tcW w:type="dxa" w:w="3312"/>
            <w:vAlign w:val="center"/>
          </w:tcPr>
          <w:p>
            <w:pPr>
              <w:spacing w:after="20"/>
            </w:pPr>
            <w:r>
              <w:rPr>
                <w:rFonts w:ascii="Times New Roman" w:hAnsi="Times New Roman"/>
                <w:color w:val="000000"/>
                <w:sz w:val="17"/>
              </w:rPr>
              <w:t>Cleaning rules documented in the experiment.</w:t>
            </w:r>
          </w:p>
        </w:tc>
      </w:tr>
      <w:tr>
        <w:tc>
          <w:tcPr>
            <w:tcW w:type="dxa" w:w="3312"/>
            <w:vAlign w:val="center"/>
          </w:tcPr>
          <w:p>
            <w:pPr>
              <w:spacing w:after="20"/>
            </w:pPr>
            <w:r>
              <w:rPr>
                <w:rFonts w:ascii="Times New Roman" w:hAnsi="Times New Roman"/>
                <w:color w:val="000000"/>
                <w:sz w:val="17"/>
              </w:rPr>
              <w:t>3. Feature engineering</w:t>
            </w:r>
          </w:p>
        </w:tc>
        <w:tc>
          <w:tcPr>
            <w:tcW w:type="dxa" w:w="3312"/>
            <w:vAlign w:val="center"/>
          </w:tcPr>
          <w:p>
            <w:pPr>
              <w:spacing w:after="20"/>
            </w:pPr>
            <w:r>
              <w:rPr>
                <w:rFonts w:ascii="Times New Roman" w:hAnsi="Times New Roman"/>
                <w:color w:val="000000"/>
                <w:sz w:val="17"/>
              </w:rPr>
              <w:t>Derive hour, day, month, day of week, and building category where available.</w:t>
            </w:r>
          </w:p>
        </w:tc>
        <w:tc>
          <w:tcPr>
            <w:tcW w:type="dxa" w:w="3312"/>
            <w:vAlign w:val="center"/>
          </w:tcPr>
          <w:p>
            <w:pPr>
              <w:spacing w:after="20"/>
            </w:pPr>
            <w:r>
              <w:rPr>
                <w:rFonts w:ascii="Times New Roman" w:hAnsi="Times New Roman"/>
                <w:color w:val="000000"/>
                <w:sz w:val="17"/>
              </w:rPr>
              <w:t>Timestamp features and categorical encoding if needed.</w:t>
            </w:r>
          </w:p>
        </w:tc>
      </w:tr>
      <w:tr>
        <w:tc>
          <w:tcPr>
            <w:tcW w:type="dxa" w:w="3312"/>
            <w:vAlign w:val="center"/>
          </w:tcPr>
          <w:p>
            <w:pPr>
              <w:spacing w:after="20"/>
            </w:pPr>
            <w:r>
              <w:rPr>
                <w:rFonts w:ascii="Times New Roman" w:hAnsi="Times New Roman"/>
                <w:color w:val="000000"/>
                <w:sz w:val="17"/>
              </w:rPr>
              <w:t>4. Prediction</w:t>
            </w:r>
          </w:p>
        </w:tc>
        <w:tc>
          <w:tcPr>
            <w:tcW w:type="dxa" w:w="3312"/>
            <w:vAlign w:val="center"/>
          </w:tcPr>
          <w:p>
            <w:pPr>
              <w:spacing w:after="20"/>
            </w:pPr>
            <w:r>
              <w:rPr>
                <w:rFonts w:ascii="Times New Roman" w:hAnsi="Times New Roman"/>
                <w:color w:val="000000"/>
                <w:sz w:val="17"/>
              </w:rPr>
              <w:t>Estimate expected energy use from the prepared input features.</w:t>
            </w:r>
          </w:p>
        </w:tc>
        <w:tc>
          <w:tcPr>
            <w:tcW w:type="dxa" w:w="3312"/>
            <w:vAlign w:val="center"/>
          </w:tcPr>
          <w:p>
            <w:pPr>
              <w:spacing w:after="20"/>
            </w:pPr>
            <w:r>
              <w:rPr>
                <w:rFonts w:ascii="Times New Roman" w:hAnsi="Times New Roman"/>
                <w:color w:val="000000"/>
                <w:sz w:val="17"/>
              </w:rPr>
              <w:t>Random Forest Regressor; predicted consumption.</w:t>
            </w:r>
          </w:p>
        </w:tc>
      </w:tr>
      <w:tr>
        <w:tc>
          <w:tcPr>
            <w:tcW w:type="dxa" w:w="3312"/>
            <w:vAlign w:val="center"/>
          </w:tcPr>
          <w:p>
            <w:pPr>
              <w:spacing w:after="20"/>
            </w:pPr>
            <w:r>
              <w:rPr>
                <w:rFonts w:ascii="Times New Roman" w:hAnsi="Times New Roman"/>
                <w:color w:val="000000"/>
                <w:sz w:val="17"/>
              </w:rPr>
              <w:t>5. Deviation analysis</w:t>
            </w:r>
          </w:p>
        </w:tc>
        <w:tc>
          <w:tcPr>
            <w:tcW w:type="dxa" w:w="3312"/>
            <w:vAlign w:val="center"/>
          </w:tcPr>
          <w:p>
            <w:pPr>
              <w:spacing w:after="20"/>
            </w:pPr>
            <w:r>
              <w:rPr>
                <w:rFonts w:ascii="Times New Roman" w:hAnsi="Times New Roman"/>
                <w:color w:val="000000"/>
                <w:sz w:val="17"/>
              </w:rPr>
              <w:t>Compare measured and predicted consumption and calculate residuals.</w:t>
            </w:r>
          </w:p>
        </w:tc>
        <w:tc>
          <w:tcPr>
            <w:tcW w:type="dxa" w:w="3312"/>
            <w:vAlign w:val="center"/>
          </w:tcPr>
          <w:p>
            <w:pPr>
              <w:spacing w:after="20"/>
            </w:pPr>
            <w:r>
              <w:rPr>
                <w:rFonts w:ascii="Times New Roman" w:hAnsi="Times New Roman"/>
                <w:color w:val="000000"/>
                <w:sz w:val="17"/>
              </w:rPr>
              <w:t>Residual = actual − predicted; threshold-based flagging.</w:t>
            </w:r>
          </w:p>
        </w:tc>
      </w:tr>
      <w:tr>
        <w:tc>
          <w:tcPr>
            <w:tcW w:type="dxa" w:w="3312"/>
            <w:vAlign w:val="center"/>
          </w:tcPr>
          <w:p>
            <w:pPr>
              <w:spacing w:after="20"/>
            </w:pPr>
            <w:r>
              <w:rPr>
                <w:rFonts w:ascii="Times New Roman" w:hAnsi="Times New Roman"/>
                <w:color w:val="000000"/>
                <w:sz w:val="17"/>
              </w:rPr>
              <w:t>6. Anomaly detection</w:t>
            </w:r>
          </w:p>
        </w:tc>
        <w:tc>
          <w:tcPr>
            <w:tcW w:type="dxa" w:w="3312"/>
            <w:vAlign w:val="center"/>
          </w:tcPr>
          <w:p>
            <w:pPr>
              <w:spacing w:after="20"/>
            </w:pPr>
            <w:r>
              <w:rPr>
                <w:rFonts w:ascii="Times New Roman" w:hAnsi="Times New Roman"/>
                <w:color w:val="000000"/>
                <w:sz w:val="17"/>
              </w:rPr>
              <w:t>Find observations that differ from common patterns.</w:t>
            </w:r>
          </w:p>
        </w:tc>
        <w:tc>
          <w:tcPr>
            <w:tcW w:type="dxa" w:w="3312"/>
            <w:vAlign w:val="center"/>
          </w:tcPr>
          <w:p>
            <w:pPr>
              <w:spacing w:after="20"/>
            </w:pPr>
            <w:r>
              <w:rPr>
                <w:rFonts w:ascii="Times New Roman" w:hAnsi="Times New Roman"/>
                <w:color w:val="000000"/>
                <w:sz w:val="17"/>
              </w:rPr>
              <w:t>Isolation Forest; anomaly indicator/score.</w:t>
            </w:r>
          </w:p>
        </w:tc>
      </w:tr>
      <w:tr>
        <w:tc>
          <w:tcPr>
            <w:tcW w:type="dxa" w:w="3312"/>
            <w:vAlign w:val="center"/>
          </w:tcPr>
          <w:p>
            <w:pPr>
              <w:spacing w:after="20"/>
            </w:pPr>
            <w:r>
              <w:rPr>
                <w:rFonts w:ascii="Times New Roman" w:hAnsi="Times New Roman"/>
                <w:color w:val="000000"/>
                <w:sz w:val="17"/>
              </w:rPr>
              <w:t>7. Explanation and display</w:t>
            </w:r>
          </w:p>
        </w:tc>
        <w:tc>
          <w:tcPr>
            <w:tcW w:type="dxa" w:w="3312"/>
            <w:vAlign w:val="center"/>
          </w:tcPr>
          <w:p>
            <w:pPr>
              <w:spacing w:after="20"/>
            </w:pPr>
            <w:r>
              <w:rPr>
                <w:rFonts w:ascii="Times New Roman" w:hAnsi="Times New Roman"/>
                <w:color w:val="000000"/>
                <w:sz w:val="17"/>
              </w:rPr>
              <w:t>Show building, timestamp, actual/predicted values, deviation, severity, and context.</w:t>
            </w:r>
          </w:p>
        </w:tc>
        <w:tc>
          <w:tcPr>
            <w:tcW w:type="dxa" w:w="3312"/>
            <w:vAlign w:val="center"/>
          </w:tcPr>
          <w:p>
            <w:pPr>
              <w:spacing w:after="20"/>
            </w:pPr>
            <w:r>
              <w:rPr>
                <w:rFonts w:ascii="Times New Roman" w:hAnsi="Times New Roman"/>
                <w:color w:val="000000"/>
                <w:sz w:val="17"/>
              </w:rPr>
              <w:t>Dashboard charts, alert table, and API response.</w:t>
            </w:r>
          </w:p>
        </w:tc>
      </w:tr>
    </w:tbl>
    <w:p/>
    <w:p>
      <w:pPr>
        <w:pStyle w:val="Heading2"/>
      </w:pPr>
      <w:r>
        <w:rPr>
          <w:rFonts w:ascii="Times New Roman" w:hAnsi="Times New Roman"/>
          <w:b/>
          <w:color w:val="000000"/>
        </w:rPr>
        <w:t>5.1 Data Preprocessing and Feature Preparation</w:t>
      </w:r>
    </w:p>
    <w:p>
      <w:r>
        <w:rPr>
          <w:rFonts w:ascii="Times New Roman" w:hAnsi="Times New Roman"/>
          <w:color w:val="000000"/>
        </w:rPr>
        <w:t>Preprocessing should begin with basic checks rather than immediately fitting a model. Confirm that timestamps can be parsed, meter readings use consistent units, and records are not accidentally duplicated. Investigate missing values and invalid readings before deciding whether to remove, impute, or retain them. Any decision should be documented because it can change the apparent frequency of anomalies.</w:t>
      </w:r>
    </w:p>
    <w:p>
      <w:r>
        <w:rPr>
          <w:rFonts w:ascii="Times New Roman" w:hAnsi="Times New Roman"/>
          <w:color w:val="000000"/>
        </w:rPr>
        <w:t>Useful candidate features include hour of day, day of week, month, and building identity or category. Environmental variables such as temperature should be included only if they are present and can be aligned correctly with the meter readings. For a time-dependent problem, a chronological train/test split is preferable to a random split when it better reflects future use. Fit data-dependent preprocessing only on training data to reduce leakage.</w:t>
      </w:r>
    </w:p>
    <w:p>
      <w:pPr>
        <w:pStyle w:val="Heading2"/>
      </w:pPr>
      <w:r>
        <w:rPr>
          <w:rFonts w:ascii="Times New Roman" w:hAnsi="Times New Roman"/>
          <w:b/>
          <w:color w:val="000000"/>
        </w:rPr>
        <w:t>5.2 Models and Proposed Approach</w:t>
      </w:r>
    </w:p>
    <w:p>
      <w:r>
        <w:rPr>
          <w:rFonts w:ascii="Times New Roman" w:hAnsi="Times New Roman"/>
          <w:color w:val="000000"/>
        </w:rPr>
        <w:t>Random Forest Regression. Random Forest combines predictions from multiple decision trees and can capture nonlinear relationships between time, building characteristics, environmental conditions, and consumption. It is the main prediction model identified in the supplied project report. Its settings—such as number of trees, maximum depth, and minimum samples per leaf—must be recorded from the actual implementation.</w:t>
      </w:r>
    </w:p>
    <w:p>
      <w:r>
        <w:rPr>
          <w:rFonts w:ascii="Times New Roman" w:hAnsi="Times New Roman"/>
          <w:color w:val="000000"/>
        </w:rPr>
        <w:t>Residual-based detection. For each held-out observation, calculate r = y − ŷ, where y is the measured consumption and ŷ is the predicted consumption. Large positive residuals mean actual usage exceeded the model estimate; large negative residuals mean usage was lower than expected. A threshold can flag unusually large deviations, but the threshold must be specified and validated rather than selected after inspecting test outcomes.</w:t>
      </w:r>
    </w:p>
    <w:p>
      <w:r>
        <w:rPr>
          <w:rFonts w:ascii="Times New Roman" w:hAnsi="Times New Roman"/>
          <w:color w:val="000000"/>
        </w:rPr>
        <w:t>Isolation Forest. This unsupervised model isolates unusual observations by repeatedly partitioning the feature space. It can complement residual checks, particularly when unusual combinations of features are present. Its contamination setting and other parameters should be reported. If a labelled anomaly set is unavailable, the output should be assessed through alert review and documented examples, not by claiming classification accuracy.</w:t>
      </w:r>
    </w:p>
    <w:p>
      <w:r>
        <w:rPr>
          <w:rFonts w:ascii="Times New Roman" w:hAnsi="Times New Roman"/>
          <w:color w:val="000000"/>
        </w:rPr>
        <w:t>Fair comparison. The supplied materials do not establish that three prediction algorithms have been trained and compared. To satisfy a research comparison, a simple baseline such as predicting the training-set mean or a seasonal/time-based baseline can be added alongside Random Forest; a further suitable model may be tested if feasible. Report only models actually run, using the same chronological split and metrics.</w:t>
      </w:r>
    </w:p>
    <w:p>
      <w:pPr>
        <w:pStyle w:val="Heading2"/>
      </w:pPr>
      <w:r>
        <w:rPr>
          <w:rFonts w:ascii="Times New Roman" w:hAnsi="Times New Roman"/>
          <w:b/>
          <w:color w:val="000000"/>
        </w:rPr>
        <w:t>5.3 Proposed Innovation or Application Component</w:t>
      </w:r>
    </w:p>
    <w:p>
      <w:r>
        <w:rPr>
          <w:rFonts w:ascii="Times New Roman" w:hAnsi="Times New Roman"/>
          <w:color w:val="000000"/>
        </w:rPr>
        <w:t>The project’s practical contribution is the combined workflow rather than a claim that a new learning algorithm has been invented. It links expected-consumption prediction, two complementary anomaly signals, context-aware alert details, and dashboard exploration. The supplied architecture further separates the frontend views from a FastAPI client/service layer and backend modules for prediction, anomalies, telemetry exploration, model metrics, building information, and persistence.</w:t>
      </w:r>
    </w:p>
    <w:p>
      <w:r>
        <w:rPr>
          <w:rFonts w:ascii="Times New Roman" w:hAnsi="Times New Roman"/>
          <w:color w:val="000000"/>
        </w:rPr>
        <w:t>The interface is intended to make an alert actionable: it should tell the user which building and time period were flagged, what was measured, what the model expected, how large the deviation was, and what context is available. This explanation helps prioritise investigation but cannot establish the cause of an event on its own.</w:t>
      </w:r>
    </w:p>
    <w:p>
      <w:pPr>
        <w:pStyle w:val="Heading1"/>
      </w:pPr>
      <w:r>
        <w:rPr>
          <w:rFonts w:ascii="Times New Roman" w:hAnsi="Times New Roman"/>
          <w:b/>
          <w:color w:val="000000"/>
        </w:rPr>
        <w:t>6. System Architecture and Project Flow</w:t>
      </w:r>
    </w:p>
    <w:p>
      <w:r>
        <w:rPr>
          <w:rFonts w:ascii="Times New Roman" w:hAnsi="Times New Roman"/>
          <w:color w:val="000000"/>
        </w:rPr>
        <w:t>Figure 1 reproduces the architecture diagram supplied with the project. The diagram shows a campus user entering through a dashboard router, with views for overview, energy analytics, building intelligence, facility prediction, prediction analysis, anomaly centre/investigation, model performance, data explorer, and settings. These views call an API client, which connects to FastAPI route modules. The lower layers include prediction and anomaly-analysis components, telemetry preprocessing, a dataset/training seeder, and persistence for energy records, runtime settings, and database sessions.</w:t>
      </w:r>
    </w:p>
    <w:p>
      <w:pPr>
        <w:jc w:val="center"/>
      </w:pPr>
      <w:r>
        <w:rPr>
          <w:rFonts w:ascii="Times New Roman" w:hAnsi="Times New Roman"/>
          <w:color w:val="000000"/>
        </w:rPr>
        <w:drawing>
          <wp:inline xmlns:a="http://schemas.openxmlformats.org/drawingml/2006/main" xmlns:pic="http://schemas.openxmlformats.org/drawingml/2006/picture">
            <wp:extent cx="6126480" cy="4164092"/>
            <wp:docPr id="1" name="Picture 1"/>
            <wp:cNvGraphicFramePr>
              <a:graphicFrameLocks noChangeAspect="1"/>
            </wp:cNvGraphicFramePr>
            <a:graphic>
              <a:graphicData uri="http://schemas.openxmlformats.org/drawingml/2006/picture">
                <pic:pic>
                  <pic:nvPicPr>
                    <pic:cNvPr id="0" name="3(1).png"/>
                    <pic:cNvPicPr/>
                  </pic:nvPicPr>
                  <pic:blipFill>
                    <a:blip r:embed="rId11"/>
                    <a:stretch>
                      <a:fillRect/>
                    </a:stretch>
                  </pic:blipFill>
                  <pic:spPr>
                    <a:xfrm>
                      <a:off x="0" y="0"/>
                      <a:ext cx="6126480" cy="4164092"/>
                    </a:xfrm>
                    <a:prstGeom prst="rect"/>
                  </pic:spPr>
                </pic:pic>
              </a:graphicData>
            </a:graphic>
          </wp:inline>
        </w:drawing>
      </w:r>
    </w:p>
    <w:p>
      <w:pPr>
        <w:jc w:val="center"/>
      </w:pPr>
      <w:r>
        <w:rPr>
          <w:rFonts w:ascii="Times New Roman" w:hAnsi="Times New Roman"/>
          <w:i/>
          <w:color w:val="000000"/>
          <w:sz w:val="18"/>
        </w:rPr>
        <w:t>Figure 1. Supplied application architecture showing dashboard routes, API modules, energy-intelligence components, and persistence.</w:t>
      </w:r>
    </w:p>
    <w:p>
      <w:r>
        <w:rPr>
          <w:rFonts w:ascii="Times New Roman" w:hAnsi="Times New Roman"/>
          <w:color w:val="000000"/>
        </w:rPr>
        <w:t>The diagram documents the intended software structure; by itself it does not prove that every module has been executed or tested. In a completed implementation, each API route should have a clear input/output contract, validation, error handling, and tests. The dashboard should distinguish missing readings from zero consumption and should display the units and time range used in each chart.</w:t>
      </w:r>
    </w:p>
    <w:p>
      <w:pPr>
        <w:pStyle w:val="Heading1"/>
      </w:pPr>
      <w:r>
        <w:rPr>
          <w:rFonts w:ascii="Times New Roman" w:hAnsi="Times New Roman"/>
          <w:b/>
          <w:color w:val="000000"/>
        </w:rPr>
        <w:t>7. Experimental Setup</w:t>
      </w:r>
    </w:p>
    <w:p>
      <w:r>
        <w:rPr>
          <w:rFonts w:ascii="Times New Roman" w:hAnsi="Times New Roman"/>
          <w:color w:val="000000"/>
        </w:rPr>
        <w:t>The supplied documents do not state the final dataset, exact software versions, hardware, model hyperparameters, split dates, or measured scores. These details must be added from the actual run before the report is submitted as an empirical research article.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b/>
                <w:color w:val="000000"/>
                <w:sz w:val="18"/>
              </w:rPr>
              <w:t>Setting</w:t>
            </w:r>
          </w:p>
        </w:tc>
        <w:tc>
          <w:tcPr>
            <w:tcW w:type="dxa" w:w="4968"/>
            <w:vAlign w:val="center"/>
          </w:tcPr>
          <w:p>
            <w:r>
              <w:rPr>
                <w:rFonts w:ascii="Times New Roman" w:hAnsi="Times New Roman"/>
                <w:b/>
                <w:color w:val="000000"/>
                <w:sz w:val="18"/>
              </w:rPr>
              <w:t>Required record</w:t>
            </w:r>
          </w:p>
        </w:tc>
      </w:tr>
      <w:tr>
        <w:tc>
          <w:tcPr>
            <w:tcW w:type="dxa" w:w="4968"/>
            <w:vAlign w:val="center"/>
          </w:tcPr>
          <w:p>
            <w:pPr>
              <w:spacing w:after="20"/>
            </w:pPr>
            <w:r>
              <w:rPr>
                <w:rFonts w:ascii="Times New Roman" w:hAnsi="Times New Roman"/>
                <w:color w:val="000000"/>
                <w:sz w:val="17"/>
              </w:rPr>
              <w:t>Environment</w:t>
            </w:r>
          </w:p>
        </w:tc>
        <w:tc>
          <w:tcPr>
            <w:tcW w:type="dxa" w:w="4968"/>
            <w:vAlign w:val="center"/>
          </w:tcPr>
          <w:p>
            <w:pPr>
              <w:spacing w:after="20"/>
            </w:pPr>
            <w:r>
              <w:rPr>
                <w:rFonts w:ascii="Times New Roman" w:hAnsi="Times New Roman"/>
                <w:color w:val="000000"/>
                <w:sz w:val="17"/>
              </w:rPr>
              <w:t>Operating system, CPU/GPU if relevant, RAM, Python version, and package versions.</w:t>
            </w:r>
          </w:p>
        </w:tc>
      </w:tr>
      <w:tr>
        <w:tc>
          <w:tcPr>
            <w:tcW w:type="dxa" w:w="4968"/>
            <w:vAlign w:val="center"/>
          </w:tcPr>
          <w:p>
            <w:pPr>
              <w:spacing w:after="20"/>
            </w:pPr>
            <w:r>
              <w:rPr>
                <w:rFonts w:ascii="Times New Roman" w:hAnsi="Times New Roman"/>
                <w:color w:val="000000"/>
                <w:sz w:val="17"/>
              </w:rPr>
              <w:t>Libraries</w:t>
            </w:r>
          </w:p>
        </w:tc>
        <w:tc>
          <w:tcPr>
            <w:tcW w:type="dxa" w:w="4968"/>
            <w:vAlign w:val="center"/>
          </w:tcPr>
          <w:p>
            <w:pPr>
              <w:spacing w:after="20"/>
            </w:pPr>
            <w:r>
              <w:rPr>
                <w:rFonts w:ascii="Times New Roman" w:hAnsi="Times New Roman"/>
                <w:color w:val="000000"/>
                <w:sz w:val="17"/>
              </w:rPr>
              <w:t>Actual versions of Pandas, NumPy, scikit-learn, plotting library, FastAPI, and dashboard framework.</w:t>
            </w:r>
          </w:p>
        </w:tc>
      </w:tr>
      <w:tr>
        <w:tc>
          <w:tcPr>
            <w:tcW w:type="dxa" w:w="4968"/>
            <w:vAlign w:val="center"/>
          </w:tcPr>
          <w:p>
            <w:pPr>
              <w:spacing w:after="20"/>
            </w:pPr>
            <w:r>
              <w:rPr>
                <w:rFonts w:ascii="Times New Roman" w:hAnsi="Times New Roman"/>
                <w:color w:val="000000"/>
                <w:sz w:val="17"/>
              </w:rPr>
              <w:t>Data split</w:t>
            </w:r>
          </w:p>
        </w:tc>
        <w:tc>
          <w:tcPr>
            <w:tcW w:type="dxa" w:w="4968"/>
            <w:vAlign w:val="center"/>
          </w:tcPr>
          <w:p>
            <w:pPr>
              <w:spacing w:after="20"/>
            </w:pPr>
            <w:r>
              <w:rPr>
                <w:rFonts w:ascii="Times New Roman" w:hAnsi="Times New Roman"/>
                <w:color w:val="000000"/>
                <w:sz w:val="17"/>
              </w:rPr>
              <w:t>Training and testing date ranges and the number of records in each.</w:t>
            </w:r>
          </w:p>
        </w:tc>
      </w:tr>
      <w:tr>
        <w:tc>
          <w:tcPr>
            <w:tcW w:type="dxa" w:w="4968"/>
            <w:vAlign w:val="center"/>
          </w:tcPr>
          <w:p>
            <w:pPr>
              <w:spacing w:after="20"/>
            </w:pPr>
            <w:r>
              <w:rPr>
                <w:rFonts w:ascii="Times New Roman" w:hAnsi="Times New Roman"/>
                <w:color w:val="000000"/>
                <w:sz w:val="17"/>
              </w:rPr>
              <w:t>Randomness</w:t>
            </w:r>
          </w:p>
        </w:tc>
        <w:tc>
          <w:tcPr>
            <w:tcW w:type="dxa" w:w="4968"/>
            <w:vAlign w:val="center"/>
          </w:tcPr>
          <w:p>
            <w:pPr>
              <w:spacing w:after="20"/>
            </w:pPr>
            <w:r>
              <w:rPr>
                <w:rFonts w:ascii="Times New Roman" w:hAnsi="Times New Roman"/>
                <w:color w:val="000000"/>
                <w:sz w:val="17"/>
              </w:rPr>
              <w:t>Random seed for model components where applicable.</w:t>
            </w:r>
          </w:p>
        </w:tc>
      </w:tr>
      <w:tr>
        <w:tc>
          <w:tcPr>
            <w:tcW w:type="dxa" w:w="4968"/>
            <w:vAlign w:val="center"/>
          </w:tcPr>
          <w:p>
            <w:pPr>
              <w:spacing w:after="20"/>
            </w:pPr>
            <w:r>
              <w:rPr>
                <w:rFonts w:ascii="Times New Roman" w:hAnsi="Times New Roman"/>
                <w:color w:val="000000"/>
                <w:sz w:val="17"/>
              </w:rPr>
              <w:t>Hyperparameters</w:t>
            </w:r>
          </w:p>
        </w:tc>
        <w:tc>
          <w:tcPr>
            <w:tcW w:type="dxa" w:w="4968"/>
            <w:vAlign w:val="center"/>
          </w:tcPr>
          <w:p>
            <w:pPr>
              <w:spacing w:after="20"/>
            </w:pPr>
            <w:r>
              <w:rPr>
                <w:rFonts w:ascii="Times New Roman" w:hAnsi="Times New Roman"/>
                <w:color w:val="000000"/>
                <w:sz w:val="17"/>
              </w:rPr>
              <w:t>Random Forest settings; Isolation Forest settings; threshold rule.</w:t>
            </w:r>
          </w:p>
        </w:tc>
      </w:tr>
      <w:tr>
        <w:tc>
          <w:tcPr>
            <w:tcW w:type="dxa" w:w="4968"/>
            <w:vAlign w:val="center"/>
          </w:tcPr>
          <w:p>
            <w:pPr>
              <w:spacing w:after="20"/>
            </w:pPr>
            <w:r>
              <w:rPr>
                <w:rFonts w:ascii="Times New Roman" w:hAnsi="Times New Roman"/>
                <w:color w:val="000000"/>
                <w:sz w:val="17"/>
              </w:rPr>
              <w:t>Reproducibility</w:t>
            </w:r>
          </w:p>
        </w:tc>
        <w:tc>
          <w:tcPr>
            <w:tcW w:type="dxa" w:w="4968"/>
            <w:vAlign w:val="center"/>
          </w:tcPr>
          <w:p>
            <w:pPr>
              <w:spacing w:after="20"/>
            </w:pPr>
            <w:r>
              <w:rPr>
                <w:rFonts w:ascii="Times New Roman" w:hAnsi="Times New Roman"/>
                <w:color w:val="000000"/>
                <w:sz w:val="17"/>
              </w:rPr>
              <w:t>Data source, preprocessing steps, run instructions, and code/repository status.</w:t>
            </w:r>
          </w:p>
        </w:tc>
      </w:tr>
    </w:tbl>
    <w:p/>
    <w:p>
      <w:r>
        <w:rPr>
          <w:rFonts w:ascii="Times New Roman" w:hAnsi="Times New Roman"/>
          <w:color w:val="000000"/>
        </w:rPr>
        <w:t>To keep the comparison fair, all prediction models should use the same features and time split. Avoid using future information to construct predictors for earlier timestamps. If hyperparameters are tuned, perform tuning only within the training data or a training-time validation segment.</w:t>
      </w:r>
    </w:p>
    <w:p>
      <w:pPr>
        <w:pStyle w:val="Heading1"/>
      </w:pPr>
      <w:r>
        <w:rPr>
          <w:rFonts w:ascii="Times New Roman" w:hAnsi="Times New Roman"/>
          <w:b/>
          <w:color w:val="000000"/>
        </w:rPr>
        <w:t>8. Evaluation Metrics</w:t>
      </w:r>
    </w:p>
    <w:p>
      <w:r>
        <w:rPr>
          <w:rFonts w:ascii="Times New Roman" w:hAnsi="Times New Roman"/>
          <w:color w:val="000000"/>
        </w:rPr>
        <w:t>Regression metrics measure how close predicted consumption is to the measured value. They should be computed on held-out data and reported with the unit of the target where appropriate.</w:t>
      </w:r>
    </w:p>
    <w:p>
      <w:r>
        <w:rPr>
          <w:rFonts w:ascii="Times New Roman" w:hAnsi="Times New Roman"/>
          <w:b/>
          <w:color w:val="000000"/>
        </w:rPr>
        <w:t>Mean Absolute Error (MAE):</w:t>
      </w:r>
      <w:r>
        <w:rPr>
          <w:rFonts w:ascii="Times New Roman" w:hAnsi="Times New Roman"/>
          <w:color w:val="000000"/>
        </w:rPr>
      </w:r>
    </w:p>
    <w:p>
      <w:pPr>
        <w:jc w:val="center"/>
      </w:pPr>
      <w:r>
        <w:rPr>
          <w:rFonts w:ascii="Times New Roman" w:hAnsi="Times New Roman"/>
          <w:b/>
          <w:color w:val="000000"/>
          <w:sz w:val="22"/>
        </w:rPr>
        <w:t>MAE = (1/n) Σ |yᵢ − ŷᵢ|</w:t>
      </w:r>
    </w:p>
    <w:p>
      <w:r>
        <w:rPr>
          <w:rFonts w:ascii="Times New Roman" w:hAnsi="Times New Roman"/>
          <w:color w:val="000000"/>
        </w:rPr>
        <w:t>Root Mean Squared Error (RMSE):</w:t>
      </w:r>
    </w:p>
    <w:p>
      <w:pPr>
        <w:jc w:val="center"/>
      </w:pPr>
      <w:r>
        <w:rPr>
          <w:rFonts w:ascii="Times New Roman" w:hAnsi="Times New Roman"/>
          <w:b/>
          <w:color w:val="000000"/>
          <w:sz w:val="22"/>
        </w:rPr>
        <w:t>RMSE = √[(1/n) Σ (yᵢ − ŷᵢ)²]</w:t>
      </w:r>
    </w:p>
    <w:p>
      <w:r>
        <w:rPr>
          <w:rFonts w:ascii="Times New Roman" w:hAnsi="Times New Roman"/>
          <w:color w:val="000000"/>
        </w:rPr>
        <w:t>Coefficient of determination (R²):</w:t>
      </w:r>
    </w:p>
    <w:p>
      <w:pPr>
        <w:jc w:val="center"/>
      </w:pPr>
      <w:r>
        <w:rPr>
          <w:rFonts w:ascii="Times New Roman" w:hAnsi="Times New Roman"/>
          <w:b/>
          <w:color w:val="000000"/>
          <w:sz w:val="22"/>
        </w:rPr>
        <w:t>R² = 1 − [Σ(yᵢ − ŷᵢ)² / Σ(yᵢ − ȳ)²]</w:t>
      </w:r>
    </w:p>
    <w:p>
      <w:r>
        <w:rPr>
          <w:rFonts w:ascii="Times New Roman" w:hAnsi="Times New Roman"/>
          <w:color w:val="000000"/>
        </w:rPr>
        <w:t>Here, yᵢ is the actual value, ŷᵢ is the prediction, ȳ is the mean actual value, and n is the number of evaluated records. MAE is easy to interpret as average absolute error; RMSE penalises larger errors more strongly; R² compares the model against a mean-based reference and can be negative on test data.</w:t>
      </w:r>
    </w:p>
    <w:p>
      <w:r>
        <w:rPr>
          <w:rFonts w:ascii="Times New Roman" w:hAnsi="Times New Roman"/>
          <w:color w:val="000000"/>
        </w:rPr>
        <w:t>For anomaly detection, report the number and proportion of flagged readings, example alerts, and review findings. Precision, recall, F1-score, and a confusion matrix are appropriate only if credible ground-truth anomaly labels are available. Otherwise, clearly state that the results are unsupervised flags and do not present these classification metrics as measured outcomes.</w:t>
      </w:r>
    </w:p>
    <w:p>
      <w:pPr>
        <w:pStyle w:val="Heading1"/>
      </w:pPr>
      <w:r>
        <w:rPr>
          <w:rFonts w:ascii="Times New Roman" w:hAnsi="Times New Roman"/>
          <w:b/>
          <w:color w:val="000000"/>
        </w:rPr>
        <w:t>9. Results</w:t>
      </w:r>
    </w:p>
    <w:p>
      <w:r>
        <w:rPr>
          <w:rFonts w:ascii="Times New Roman" w:hAnsi="Times New Roman"/>
          <w:color w:val="000000"/>
        </w:rPr>
        <w:t>No measured model scores, final dataset statistics, or executed result charts were included in the supplied project materials. Therefore, quantitative results cannot be reported honestly at this stage. The following table is provided as a reporting template and must be filled with values from the actual experiment.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rFonts w:ascii="Times New Roman" w:hAnsi="Times New Roman"/>
                <w:b/>
                <w:color w:val="000000"/>
                <w:sz w:val="18"/>
              </w:rPr>
              <w:t>Model / method</w:t>
            </w:r>
          </w:p>
        </w:tc>
        <w:tc>
          <w:tcPr>
            <w:tcW w:type="dxa" w:w="1987"/>
            <w:vAlign w:val="center"/>
          </w:tcPr>
          <w:p>
            <w:r>
              <w:rPr>
                <w:rFonts w:ascii="Times New Roman" w:hAnsi="Times New Roman"/>
                <w:b/>
                <w:color w:val="000000"/>
                <w:sz w:val="18"/>
              </w:rPr>
              <w:t>MAE</w:t>
            </w:r>
          </w:p>
        </w:tc>
        <w:tc>
          <w:tcPr>
            <w:tcW w:type="dxa" w:w="1987"/>
            <w:vAlign w:val="center"/>
          </w:tcPr>
          <w:p>
            <w:r>
              <w:rPr>
                <w:rFonts w:ascii="Times New Roman" w:hAnsi="Times New Roman"/>
                <w:b/>
                <w:color w:val="000000"/>
                <w:sz w:val="18"/>
              </w:rPr>
              <w:t>RMSE</w:t>
            </w:r>
          </w:p>
        </w:tc>
        <w:tc>
          <w:tcPr>
            <w:tcW w:type="dxa" w:w="1987"/>
            <w:vAlign w:val="center"/>
          </w:tcPr>
          <w:p>
            <w:r>
              <w:rPr>
                <w:rFonts w:ascii="Times New Roman" w:hAnsi="Times New Roman"/>
                <w:b/>
                <w:color w:val="000000"/>
                <w:sz w:val="18"/>
              </w:rPr>
              <w:t>R²</w:t>
            </w:r>
          </w:p>
        </w:tc>
        <w:tc>
          <w:tcPr>
            <w:tcW w:type="dxa" w:w="1987"/>
            <w:vAlign w:val="center"/>
          </w:tcPr>
          <w:p>
            <w:r>
              <w:rPr>
                <w:rFonts w:ascii="Times New Roman" w:hAnsi="Times New Roman"/>
                <w:b/>
                <w:color w:val="000000"/>
                <w:sz w:val="18"/>
              </w:rPr>
              <w:t>Notes</w:t>
            </w:r>
          </w:p>
        </w:tc>
      </w:tr>
      <w:tr>
        <w:tc>
          <w:tcPr>
            <w:tcW w:type="dxa" w:w="1987"/>
            <w:vAlign w:val="center"/>
          </w:tcPr>
          <w:p>
            <w:pPr>
              <w:spacing w:after="20"/>
            </w:pPr>
            <w:r>
              <w:rPr>
                <w:rFonts w:ascii="Times New Roman" w:hAnsi="Times New Roman"/>
                <w:color w:val="000000"/>
                <w:sz w:val="17"/>
              </w:rPr>
              <w:t>Baseline model</w:t>
            </w:r>
          </w:p>
        </w:tc>
        <w:tc>
          <w:tcPr>
            <w:tcW w:type="dxa" w:w="1987"/>
            <w:vAlign w:val="center"/>
          </w:tcPr>
          <w:p>
            <w:pPr>
              <w:spacing w:after="20"/>
            </w:pPr>
            <w:r>
              <w:rPr>
                <w:rFonts w:ascii="Times New Roman" w:hAnsi="Times New Roman"/>
                <w:color w:val="000000"/>
                <w:sz w:val="17"/>
              </w:rPr>
              <w:t>To be measured</w:t>
            </w:r>
          </w:p>
        </w:tc>
        <w:tc>
          <w:tcPr>
            <w:tcW w:type="dxa" w:w="1987"/>
            <w:vAlign w:val="center"/>
          </w:tcPr>
          <w:p>
            <w:pPr>
              <w:spacing w:after="20"/>
            </w:pPr>
            <w:r>
              <w:rPr>
                <w:rFonts w:ascii="Times New Roman" w:hAnsi="Times New Roman"/>
                <w:color w:val="000000"/>
                <w:sz w:val="17"/>
              </w:rPr>
              <w:t>To be measured</w:t>
            </w:r>
          </w:p>
        </w:tc>
        <w:tc>
          <w:tcPr>
            <w:tcW w:type="dxa" w:w="1987"/>
            <w:vAlign w:val="center"/>
          </w:tcPr>
          <w:p>
            <w:pPr>
              <w:spacing w:after="20"/>
            </w:pPr>
            <w:r>
              <w:rPr>
                <w:rFonts w:ascii="Times New Roman" w:hAnsi="Times New Roman"/>
                <w:color w:val="000000"/>
                <w:sz w:val="17"/>
              </w:rPr>
              <w:t>To be measured</w:t>
            </w:r>
          </w:p>
        </w:tc>
        <w:tc>
          <w:tcPr>
            <w:tcW w:type="dxa" w:w="1987"/>
            <w:vAlign w:val="center"/>
          </w:tcPr>
          <w:p>
            <w:pPr>
              <w:spacing w:after="20"/>
            </w:pPr>
            <w:r>
              <w:rPr>
                <w:rFonts w:ascii="Times New Roman" w:hAnsi="Times New Roman"/>
                <w:color w:val="000000"/>
                <w:sz w:val="17"/>
              </w:rPr>
              <w:t>Include only if trained/evaluated.</w:t>
            </w:r>
          </w:p>
        </w:tc>
      </w:tr>
      <w:tr>
        <w:tc>
          <w:tcPr>
            <w:tcW w:type="dxa" w:w="1987"/>
            <w:vAlign w:val="center"/>
          </w:tcPr>
          <w:p>
            <w:pPr>
              <w:spacing w:after="20"/>
            </w:pPr>
            <w:r>
              <w:rPr>
                <w:rFonts w:ascii="Times New Roman" w:hAnsi="Times New Roman"/>
                <w:color w:val="000000"/>
                <w:sz w:val="17"/>
              </w:rPr>
              <w:t>Random Forest Regressor</w:t>
            </w:r>
          </w:p>
        </w:tc>
        <w:tc>
          <w:tcPr>
            <w:tcW w:type="dxa" w:w="1987"/>
            <w:vAlign w:val="center"/>
          </w:tcPr>
          <w:p>
            <w:pPr>
              <w:spacing w:after="20"/>
            </w:pPr>
            <w:r>
              <w:rPr>
                <w:rFonts w:ascii="Times New Roman" w:hAnsi="Times New Roman"/>
                <w:color w:val="000000"/>
                <w:sz w:val="17"/>
              </w:rPr>
              <w:t>To be measured</w:t>
            </w:r>
          </w:p>
        </w:tc>
        <w:tc>
          <w:tcPr>
            <w:tcW w:type="dxa" w:w="1987"/>
            <w:vAlign w:val="center"/>
          </w:tcPr>
          <w:p>
            <w:pPr>
              <w:spacing w:after="20"/>
            </w:pPr>
            <w:r>
              <w:rPr>
                <w:rFonts w:ascii="Times New Roman" w:hAnsi="Times New Roman"/>
                <w:color w:val="000000"/>
                <w:sz w:val="17"/>
              </w:rPr>
              <w:t>To be measured</w:t>
            </w:r>
          </w:p>
        </w:tc>
        <w:tc>
          <w:tcPr>
            <w:tcW w:type="dxa" w:w="1987"/>
            <w:vAlign w:val="center"/>
          </w:tcPr>
          <w:p>
            <w:pPr>
              <w:spacing w:after="20"/>
            </w:pPr>
            <w:r>
              <w:rPr>
                <w:rFonts w:ascii="Times New Roman" w:hAnsi="Times New Roman"/>
                <w:color w:val="000000"/>
                <w:sz w:val="17"/>
              </w:rPr>
              <w:t>To be measured</w:t>
            </w:r>
          </w:p>
        </w:tc>
        <w:tc>
          <w:tcPr>
            <w:tcW w:type="dxa" w:w="1987"/>
            <w:vAlign w:val="center"/>
          </w:tcPr>
          <w:p>
            <w:pPr>
              <w:spacing w:after="20"/>
            </w:pPr>
            <w:r>
              <w:rPr>
                <w:rFonts w:ascii="Times New Roman" w:hAnsi="Times New Roman"/>
                <w:color w:val="000000"/>
                <w:sz w:val="17"/>
              </w:rPr>
              <w:t>Main prediction model in project design.</w:t>
            </w:r>
          </w:p>
        </w:tc>
      </w:tr>
      <w:tr>
        <w:tc>
          <w:tcPr>
            <w:tcW w:type="dxa" w:w="1987"/>
            <w:vAlign w:val="center"/>
          </w:tcPr>
          <w:p>
            <w:pPr>
              <w:spacing w:after="20"/>
            </w:pPr>
            <w:r>
              <w:rPr>
                <w:rFonts w:ascii="Times New Roman" w:hAnsi="Times New Roman"/>
                <w:color w:val="000000"/>
                <w:sz w:val="17"/>
              </w:rPr>
              <w:t>Additional model (if run)</w:t>
            </w:r>
          </w:p>
        </w:tc>
        <w:tc>
          <w:tcPr>
            <w:tcW w:type="dxa" w:w="1987"/>
            <w:vAlign w:val="center"/>
          </w:tcPr>
          <w:p>
            <w:pPr>
              <w:spacing w:after="20"/>
            </w:pPr>
            <w:r>
              <w:rPr>
                <w:rFonts w:ascii="Times New Roman" w:hAnsi="Times New Roman"/>
                <w:color w:val="000000"/>
                <w:sz w:val="17"/>
              </w:rPr>
              <w:t>To be measured</w:t>
            </w:r>
          </w:p>
        </w:tc>
        <w:tc>
          <w:tcPr>
            <w:tcW w:type="dxa" w:w="1987"/>
            <w:vAlign w:val="center"/>
          </w:tcPr>
          <w:p>
            <w:pPr>
              <w:spacing w:after="20"/>
            </w:pPr>
            <w:r>
              <w:rPr>
                <w:rFonts w:ascii="Times New Roman" w:hAnsi="Times New Roman"/>
                <w:color w:val="000000"/>
                <w:sz w:val="17"/>
              </w:rPr>
              <w:t>To be measured</w:t>
            </w:r>
          </w:p>
        </w:tc>
        <w:tc>
          <w:tcPr>
            <w:tcW w:type="dxa" w:w="1987"/>
            <w:vAlign w:val="center"/>
          </w:tcPr>
          <w:p>
            <w:pPr>
              <w:spacing w:after="20"/>
            </w:pPr>
            <w:r>
              <w:rPr>
                <w:rFonts w:ascii="Times New Roman" w:hAnsi="Times New Roman"/>
                <w:color w:val="000000"/>
                <w:sz w:val="17"/>
              </w:rPr>
              <w:t>To be measured</w:t>
            </w:r>
          </w:p>
        </w:tc>
        <w:tc>
          <w:tcPr>
            <w:tcW w:type="dxa" w:w="1987"/>
            <w:vAlign w:val="center"/>
          </w:tcPr>
          <w:p>
            <w:pPr>
              <w:spacing w:after="20"/>
            </w:pPr>
            <w:r>
              <w:rPr>
                <w:rFonts w:ascii="Times New Roman" w:hAnsi="Times New Roman"/>
                <w:color w:val="000000"/>
                <w:sz w:val="17"/>
              </w:rPr>
              <w:t>Name the model and its settings.</w:t>
            </w:r>
          </w:p>
        </w:tc>
      </w:tr>
    </w:tbl>
    <w:p/>
    <w:p>
      <w:r>
        <w:rPr>
          <w:rFonts w:ascii="Times New Roman" w:hAnsi="Times New Roman"/>
          <w:color w:val="000000"/>
        </w:rPr>
        <w:t>For the final results section, include actual-versus-predicted plots, a time-series view of flagged observations, and a feature-importance plot if supported by the trained model. Include screenshots of the running dashboard and explain what each screenshot demonstrates. Do not use the architecture diagram as a substitute for experimental evidence.</w:t>
      </w:r>
    </w:p>
    <w:p>
      <w:pPr>
        <w:pStyle w:val="Heading2"/>
      </w:pPr>
      <w:r>
        <w:rPr>
          <w:rFonts w:ascii="Times New Roman" w:hAnsi="Times New Roman"/>
          <w:b/>
          <w:color w:val="000000"/>
        </w:rPr>
        <w:t>9.1 Results checklist</w:t>
      </w:r>
    </w:p>
    <w:p>
      <w:pPr>
        <w:pStyle w:val="ListBullet"/>
        <w:spacing w:after="40"/>
        <w:ind w:left="360"/>
      </w:pPr>
      <w:r>
        <w:rPr>
          <w:rFonts w:ascii="Times New Roman" w:hAnsi="Times New Roman"/>
          <w:color w:val="000000"/>
        </w:rPr>
        <w:t>Record the selected dataset, final row count, building count, date range, target units, and train/test sizes.</w:t>
      </w:r>
    </w:p>
    <w:p>
      <w:pPr>
        <w:pStyle w:val="ListBullet"/>
        <w:spacing w:after="40"/>
        <w:ind w:left="360"/>
      </w:pPr>
      <w:r>
        <w:rPr>
          <w:rFonts w:ascii="Times New Roman" w:hAnsi="Times New Roman"/>
          <w:color w:val="000000"/>
        </w:rPr>
        <w:t>Report the actual MAE, RMSE, and R² from the held-out set.</w:t>
      </w:r>
    </w:p>
    <w:p>
      <w:pPr>
        <w:pStyle w:val="ListBullet"/>
        <w:spacing w:after="40"/>
        <w:ind w:left="360"/>
      </w:pPr>
      <w:r>
        <w:rPr>
          <w:rFonts w:ascii="Times New Roman" w:hAnsi="Times New Roman"/>
          <w:color w:val="000000"/>
        </w:rPr>
        <w:t>Show how many readings each anomaly method flags and describe representative cases.</w:t>
      </w:r>
    </w:p>
    <w:p>
      <w:pPr>
        <w:pStyle w:val="ListBullet"/>
        <w:spacing w:after="40"/>
        <w:ind w:left="360"/>
      </w:pPr>
      <w:r>
        <w:rPr>
          <w:rFonts w:ascii="Times New Roman" w:hAnsi="Times New Roman"/>
          <w:color w:val="000000"/>
        </w:rPr>
        <w:t>Explain false alarms or missed events if labels or expert review are available.</w:t>
      </w:r>
    </w:p>
    <w:p>
      <w:pPr>
        <w:pStyle w:val="ListBullet"/>
        <w:spacing w:after="40"/>
        <w:ind w:left="360"/>
      </w:pPr>
      <w:r>
        <w:rPr>
          <w:rFonts w:ascii="Times New Roman" w:hAnsi="Times New Roman"/>
          <w:color w:val="000000"/>
        </w:rPr>
        <w:t>Add screenshots captured from the running application, with figure numbers and captions.</w:t>
      </w:r>
    </w:p>
    <w:p>
      <w:pPr>
        <w:pStyle w:val="Heading1"/>
      </w:pPr>
      <w:r>
        <w:rPr>
          <w:rFonts w:ascii="Times New Roman" w:hAnsi="Times New Roman"/>
          <w:b/>
          <w:color w:val="000000"/>
        </w:rPr>
        <w:t>10. Discussion</w:t>
      </w:r>
    </w:p>
    <w:p>
      <w:r>
        <w:rPr>
          <w:rFonts w:ascii="Times New Roman" w:hAnsi="Times New Roman"/>
          <w:color w:val="000000"/>
        </w:rPr>
        <w:t>The proposed design joins prediction and anomaly detection in a way that can help staff focus their attention. A regression model provides a reference for expected usage, while residual analysis makes the direction and size of a deviation easy to explain. Isolation Forest offers a second, unsupervised view of unusual patterns. The dashboard and API structure can make these outputs easier to explore than raw meter files alone.</w:t>
      </w:r>
    </w:p>
    <w:p>
      <w:r>
        <w:rPr>
          <w:rFonts w:ascii="Times New Roman" w:hAnsi="Times New Roman"/>
          <w:color w:val="000000"/>
        </w:rPr>
        <w:t>There are important trade-offs. Random Forest is often a practical choice for tabular data, but its predictions depend on the representativeness of the training data. A model trained on one building or season may not generalise to another. Residual thresholds can be easy to understand but may generate many alerts if normal consumption is highly variable. Isolation Forest can identify unusual combinations, yet its flags are not labels of confirmed faults.</w:t>
      </w:r>
    </w:p>
    <w:p>
      <w:r>
        <w:rPr>
          <w:rFonts w:ascii="Times New Roman" w:hAnsi="Times New Roman"/>
          <w:color w:val="000000"/>
        </w:rPr>
        <w:t>The current evidence is limited by the missing confirmation of the dataset, absence of measured scores, and lack of documented anomaly ground truth. The diagram represents architecture, not proof of performance. A sound evaluation should compare against a simple baseline, use time-aware splits, record exact settings, and examine real alert examples. Any claim that the system reduces energy consumption would require a later operational study measuring outcomes before and after intervention.</w:t>
      </w:r>
    </w:p>
    <w:p>
      <w:pPr>
        <w:pStyle w:val="Heading1"/>
      </w:pPr>
      <w:r>
        <w:rPr>
          <w:rFonts w:ascii="Times New Roman" w:hAnsi="Times New Roman"/>
          <w:b/>
          <w:color w:val="000000"/>
        </w:rPr>
        <w:t>11. Conclusion and Future Work</w:t>
      </w:r>
    </w:p>
    <w:p>
      <w:r>
        <w:rPr>
          <w:rFonts w:ascii="Times New Roman" w:hAnsi="Times New Roman"/>
          <w:color w:val="000000"/>
        </w:rPr>
        <w:t>This report describes a campus energy monitoring prototype that combines Random Forest Regression, residual-based deviation analysis, Isolation Forest, and a dashboard-oriented API architecture. Its goal is to estimate expected consumption and help users identify readings that deserve investigation. The project’s practical value lies in connecting model outputs to readable alert details and building-level trends.</w:t>
      </w:r>
    </w:p>
    <w:p>
      <w:r>
        <w:rPr>
          <w:rFonts w:ascii="Times New Roman" w:hAnsi="Times New Roman"/>
          <w:color w:val="000000"/>
        </w:rPr>
        <w:t>The supplied materials do not establish final model performance or confirm which candidate dataset was used, so no quantitative success claim is made. The next steps are to confirm the dataset and licence, complete the preprocessing and evaluation pipeline, compare at least three suitable prediction approaches where feasible, capture live application screenshots, and report measured metrics. Further work could include real-time smart-meter ingestion, external validation across buildings, sequence models such as LSTM/GRU, explainability features, and feedback from facility managers.</w:t>
      </w:r>
    </w:p>
    <w:p>
      <w:pPr>
        <w:pStyle w:val="Heading1"/>
      </w:pPr>
      <w:r>
        <w:rPr>
          <w:rFonts w:ascii="Times New Roman" w:hAnsi="Times New Roman"/>
          <w:b/>
          <w:color w:val="000000"/>
        </w:rPr>
        <w:t>Data and Code Availability</w:t>
      </w:r>
    </w:p>
    <w:p>
      <w:r>
        <w:rPr>
          <w:rFonts w:ascii="Times New Roman" w:hAnsi="Times New Roman"/>
          <w:color w:val="000000"/>
        </w:rPr>
        <w:t>The supplied materials include a project architecture diagram and a short project description. A final dataset URL/version, code availability statement, trained-model artifact, and reproducible run instructions were not confirmed in the supplied report. Add the repository link only after verifying that it is accessible and ready to share. Cite the exact dataset and its licence once the selected dataset is confirmed.</w:t>
      </w:r>
    </w:p>
    <w:p>
      <w:pPr>
        <w:pStyle w:val="Heading1"/>
      </w:pPr>
      <w:r>
        <w:rPr>
          <w:rFonts w:ascii="Times New Roman" w:hAnsi="Times New Roman"/>
          <w:b/>
          <w:color w:val="000000"/>
        </w:rPr>
        <w:t>References</w:t>
      </w:r>
    </w:p>
    <w:p>
      <w:pPr>
        <w:spacing w:after="80"/>
        <w:ind w:left="259" w:hanging="259"/>
      </w:pPr>
      <w:r>
        <w:rPr>
          <w:rFonts w:ascii="Times New Roman" w:hAnsi="Times New Roman"/>
          <w:color w:val="000000"/>
          <w:sz w:val="18"/>
        </w:rPr>
        <w:t>[1] C. Xu and H. Chen, “A hybrid data mining approach for anomaly detection and evaluation in residential buildings energy data,” Energy and Buildings, vol. 215, article 109864, 2020. https://doi.org/10.1016/j.enbuild.2020.109864</w:t>
      </w:r>
    </w:p>
    <w:p>
      <w:pPr>
        <w:spacing w:after="80"/>
        <w:ind w:left="259" w:hanging="259"/>
      </w:pPr>
      <w:r>
        <w:rPr>
          <w:rFonts w:ascii="Times New Roman" w:hAnsi="Times New Roman"/>
          <w:color w:val="000000"/>
          <w:sz w:val="18"/>
        </w:rPr>
        <w:t>[2] Y. Himeur, K. Ghanem, A. Alsalemi, F. Bensaali, and A. Amira, “Artificial intelligence based anomaly detection of energy consumption in buildings: A review, current trends and new perspectives,” Applied Energy, vol. 287, article 116601, 2021. https://doi.org/10.1016/j.apenergy.2021.116601</w:t>
      </w:r>
    </w:p>
    <w:p>
      <w:pPr>
        <w:spacing w:after="80"/>
        <w:ind w:left="259" w:hanging="259"/>
      </w:pPr>
      <w:r>
        <w:rPr>
          <w:rFonts w:ascii="Times New Roman" w:hAnsi="Times New Roman"/>
          <w:color w:val="000000"/>
          <w:sz w:val="18"/>
        </w:rPr>
        <w:t>[3] M. Khalil, A. S. McGough, Z. Pourmirza, M. Pazhoohesh, and S. Walker, “Machine Learning, Deep Learning and Statistical Analysis for forecasting building energy consumption—A systematic review,” Engineering Applications of Artificial Intelligence, vol. 115, article 105287, 2022. https://doi.org/10.1016/j.engappai.2022.105287</w:t>
      </w:r>
    </w:p>
    <w:p>
      <w:pPr>
        <w:spacing w:after="80"/>
        <w:ind w:left="259" w:hanging="259"/>
      </w:pPr>
      <w:r>
        <w:rPr>
          <w:rFonts w:ascii="Times New Roman" w:hAnsi="Times New Roman"/>
          <w:color w:val="000000"/>
          <w:sz w:val="18"/>
        </w:rPr>
        <w:t>[4] S. Ardabili et al., “Systematic Review of Deep Learning and Machine Learning for Building Energy,” Frontiers in Energy Research, vol. 10, 2022. https://doi.org/10.3389/fenrg.2022.786027</w:t>
      </w:r>
    </w:p>
    <w:p>
      <w:pPr>
        <w:spacing w:after="80"/>
        <w:ind w:left="259" w:hanging="259"/>
      </w:pPr>
      <w:r>
        <w:rPr>
          <w:rFonts w:ascii="Times New Roman" w:hAnsi="Times New Roman"/>
          <w:color w:val="000000"/>
          <w:sz w:val="18"/>
        </w:rPr>
        <w:t>[5] “Physical energy and data-driven models in building energy prediction: A review,” Energy Reports, 2022. https://doi.org/10.1016/j.egyr.2022.01.162</w:t>
      </w:r>
    </w:p>
    <w:p>
      <w:pPr>
        <w:spacing w:after="80"/>
        <w:ind w:left="259" w:hanging="259"/>
      </w:pPr>
      <w:r>
        <w:rPr>
          <w:rFonts w:ascii="Times New Roman" w:hAnsi="Times New Roman"/>
          <w:color w:val="000000"/>
          <w:sz w:val="18"/>
        </w:rPr>
        <w:t>[6] “Machine Learning and Deep Learning Methods for Enhancing Building Energy Efficiency and Indoor Environmental Quality—A Review,” Energy and AI, vol. 10, article 100198, 2022. https://doi.org/10.1016/j.egyai.2022.100198</w:t>
      </w:r>
    </w:p>
    <w:p>
      <w:pPr>
        <w:spacing w:after="80"/>
        <w:ind w:left="259" w:hanging="259"/>
      </w:pPr>
      <w:r>
        <w:rPr>
          <w:rFonts w:ascii="Times New Roman" w:hAnsi="Times New Roman"/>
          <w:color w:val="000000"/>
          <w:sz w:val="18"/>
        </w:rPr>
        <w:t>[7] L. Mascali et al., “A machine learning-based Anomaly Detection Framework for building electricity consumption data,” Sustainable Energy, Grids and Networks, vol. 36, article 101194, 2023. https://doi.org/10.1016/j.segan.2023.101194</w:t>
      </w:r>
    </w:p>
    <w:p>
      <w:pPr>
        <w:spacing w:after="80"/>
        <w:ind w:left="259" w:hanging="259"/>
      </w:pPr>
      <w:r>
        <w:rPr>
          <w:rFonts w:ascii="Times New Roman" w:hAnsi="Times New Roman"/>
          <w:color w:val="000000"/>
          <w:sz w:val="18"/>
        </w:rPr>
        <w:t>[8] “A dynamic anomaly detection method of building energy consumption based on data mining technology,” Energy, vol. 263, article 125575, 2023. https://doi.org/10.1016/j.energy.2022.125575</w:t>
      </w:r>
    </w:p>
    <w:p>
      <w:pPr>
        <w:spacing w:after="80"/>
        <w:ind w:left="259" w:hanging="259"/>
      </w:pPr>
      <w:r>
        <w:rPr>
          <w:rFonts w:ascii="Times New Roman" w:hAnsi="Times New Roman"/>
          <w:color w:val="000000"/>
          <w:sz w:val="18"/>
        </w:rPr>
        <w:t>[9] A. Copiaco et al., “An innovative deep anomaly detection of building energy consumption using energy time-series images,” Engineering Applications of Artificial Intelligence, vol. 119, article 105775, 2023. https://doi.org/10.1016/j.engappai.2022.105775</w:t>
      </w:r>
    </w:p>
    <w:p>
      <w:pPr>
        <w:spacing w:after="80"/>
        <w:ind w:left="259" w:hanging="259"/>
      </w:pPr>
      <w:r>
        <w:rPr>
          <w:rFonts w:ascii="Times New Roman" w:hAnsi="Times New Roman"/>
          <w:color w:val="000000"/>
          <w:sz w:val="18"/>
        </w:rPr>
        <w:t>[10] Z. Zhang et al., “Anomaly detection method for building energy consumption in multivariate time series based on graph attention mechanism,” PLOS ONE, 18(6), e0286770, 2023. https://doi.org/10.1371/journal.pone.0286770</w:t>
      </w:r>
    </w:p>
    <w:p>
      <w:pPr>
        <w:spacing w:after="80"/>
        <w:ind w:left="259" w:hanging="259"/>
      </w:pPr>
      <w:r>
        <w:rPr>
          <w:rFonts w:ascii="Times New Roman" w:hAnsi="Times New Roman"/>
          <w:color w:val="000000"/>
          <w:sz w:val="18"/>
        </w:rPr>
        <w:t>[11] L. Lei, S. Shao, and L. Liang, “An evolutionary deep learning model based on EWKM, random forest algorithm, SSA and BiLSTM for building energy consumption prediction,” Energy, vol. 288, article 129795, 2024. https://doi.org/10.1016/j.energy.2023.129795</w:t>
      </w:r>
    </w:p>
    <w:p>
      <w:pPr>
        <w:pStyle w:val="Heading1"/>
      </w:pPr>
      <w:r>
        <w:rPr>
          <w:rFonts w:ascii="Times New Roman" w:hAnsi="Times New Roman"/>
          <w:b/>
          <w:color w:val="000000"/>
        </w:rPr>
        <w:t>Submission Notes</w:t>
      </w:r>
    </w:p>
    <w:p>
      <w:r>
        <w:rPr>
          <w:rFonts w:ascii="Times New Roman" w:hAnsi="Times New Roman"/>
          <w:color w:val="000000"/>
        </w:rPr>
        <w:t>Before submitting this report as a research article, replace all “to be measured” items with outputs from the actual run, confirm the dataset used, and add genuine screenshots of the running application. The literature summaries above are brief paraphrases of the cited publications; verify the final citation formatting against the department’s preferred style. All document text has been formatted in black.</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6"/>
      </w:rPr>
      <w:t>AI-Based Campus Energy Consumption and Anomaly Detection System</w:t>
    </w:r>
    <w:r>
      <w:rPr>
        <w:color w:val="000000"/>
      </w:rP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000000"/>
        <w:sz w:val="16"/>
      </w:rPr>
      <w:t>AI-BASED CAMPUS ENERGY CONSUMPTION AND ANOMALY DETECTION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