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30% and enabling real-time analytics.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real-time data processing pipeline using Apache Spark and Apache Flink, enabling sub-second data ingestion, transformation, and analytics for critical business applications.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