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>
      <w:r>
        <w:t>CentrAlert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scalable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numPr>
          <w:ilvl w:val="0"/>
          <w:numId w:val="31"/>
        </w:numPr>
      </w:pPr>
      <w:r>
        <w:rPr>
          <w:rFonts w:ascii="Arial" w:hAnsi="Arial"/>
          <w:b/>
        </w:rPr>
        <w:t>Implemented asynchronous processing and messaging using Kafka and RabbitMQ, enabling high-throughput, low-latency data pipelines that scaled to handle 10x increases in user traffic.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>
      <w:r>
        <w:t>Tata Consultancy Services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implemented a highly available, fault-tolerant Redis cluster with sharding and replication, achieving 99.99% uptime and a 3x improvement in high-concurrency transaction throughput.</w:t>
      </w:r>
    </w:p>
    <w:p>
      <w:r>
        <w:t>CAMP Systems International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>
      <w:r>
        <w:t>University of Massachusetts at Lowell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implemented a unified Multi-Factor Authentication (MFA) system using Identity Server and OAuth 2.0 for the CAMP Engine Maintenance suite, reducing client authentication issues by 40%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