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technologies, including Apache Iceberg, Delta, and Hudi, to improve the scalability and performance of the data infrastructure, reducing processing times by 30% and enabling real-time analytics.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Engineered a real-time, low-latency search capability leveraging Apache Kafka, Elasticsearch, and Debezium,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Designed and deployed distributed data processing architectures using Apache Spark and Apache Flink, achieving high-throughput, low-latency data pipelines that powered real-time analytics and reporting for enterprise-scale applications.</w:t>
      </w:r>
    </w:p>
    <w:p>
      <w:pPr>
        <w:pStyle w:val="BodyText"/>
        <w:numPr>
          <w:ilvl w:val="0"/>
          <w:numId w:val="35"/>
        </w:numPr>
      </w:pPr>
      <w:r>
        <w:rPr>
          <w:rFonts w:ascii="Arial" w:hAnsi="Arial"/>
          <w:b/>
        </w:rPr>
        <w:t>Designed and implemented cloud-native data infrastructure using Azure Databricks, Azure Data Lake Storage, and Azure Synapse Analytics, enabling scalable, cost-effective data processing and analytics capabilities for enterprise customers.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