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REST and gRPC APIs, reducing end-to-end latency by 40% and enabling seamless third-party integrations.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Leveraged Apache Spark, Apache Flink, and Trino/Presto to design and implement a scalable data lakehouse architecture, enabling real-time analytics and reporting for the emergency communications platform.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Evaluated and integrated new data processing and storage technologies, such as Apache Iceberg and Delta Lake, to improve the performance, reliability, and scalability of the data infrastructure.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Designed and implemented a highly available, fault-tolerant distributed data architecture using Apache Kafka, Elasticsearch, and Debezium, ensuring real-time data processing and reliable event streaming for mission-critical applications.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Automated database cluster provisioning, version upgrades, and seamless migrations using Python, Ansible, Terraform, and Docker, integrating with Jenkins CI/CD pipelines to cut deployment times by 50% and ensure zero-downtime releases across cloud environments.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