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02">
      <w:pPr>
        <w:jc w:val="both"/>
        <w:rPr>
          <w:b w:val="1"/>
          <w:sz w:val="28"/>
          <w:szCs w:val="28"/>
          <w:u w:val="single"/>
        </w:rPr>
      </w:pPr>
      <w:r w:rsidDel="00000000" w:rsidR="00000000" w:rsidRPr="00000000">
        <w:rPr>
          <w:rtl w:val="0"/>
        </w:rPr>
      </w:r>
    </w:p>
    <w:p w:rsidR="00000000" w:rsidDel="00000000" w:rsidP="00000000" w:rsidRDefault="00000000" w:rsidRPr="00000000" w14:paraId="00000003">
      <w:pPr>
        <w:jc w:val="both"/>
        <w:rPr>
          <w:b w:val="1"/>
          <w:sz w:val="28"/>
          <w:szCs w:val="28"/>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the artificial intelligence revolution has brought unprecedented challenges to today's ethical standards, legal rules, social order and public management systems. The implicit requirements for judging patent eligibility may be inconsistent with the nature of artificial intelligence technology. To address the challenges of artificial intelligence, many countries have begun to revise patent examination guidelines related patent-eligibility criteria. Whether these new Guidelines will make patenting AI inventions as such easier in these countries is difficult to say yet. At least, a window is opened.</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