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F56A4">
      <w:pPr>
        <w:keepNext w:val="0"/>
        <w:keepLines w:val="0"/>
        <w:pageBreakBefore w:val="0"/>
        <w:widowControl/>
        <w:kinsoku/>
        <w:wordWrap/>
        <w:overflowPunct/>
        <w:topLinePunct w:val="0"/>
        <w:autoSpaceDE/>
        <w:autoSpaceDN/>
        <w:bidi w:val="0"/>
        <w:adjustRightInd/>
        <w:snapToGrid/>
        <w:textAlignment w:val="auto"/>
        <w:rPr>
          <w:rFonts w:hint="default"/>
          <w:lang w:val="en-US"/>
        </w:rPr>
      </w:pPr>
      <w:r>
        <w:rPr>
          <w:rFonts w:hint="default"/>
          <w:lang w:val="en-US"/>
        </w:rPr>
        <w:t>Dashboard details:</w:t>
      </w:r>
    </w:p>
    <w:p w14:paraId="4621E3D8">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Here is the comprehensive, interview-ready summary of your </w:t>
      </w:r>
      <w:r>
        <w:rPr>
          <w:rStyle w:val="7"/>
          <w:rFonts w:hint="default" w:ascii="Arial" w:hAnsi="Arial" w:eastAsia="Arial" w:cs="Arial"/>
          <w:b/>
          <w:bCs/>
          <w:kern w:val="0"/>
          <w:sz w:val="24"/>
          <w:szCs w:val="24"/>
          <w:u w:val="none"/>
          <w:lang w:val="en-US" w:eastAsia="zh-CN" w:bidi="ar"/>
        </w:rPr>
        <w:t>Multi-Channel Ad Spend Attribution &amp; Funnel Optimization Hub</w:t>
      </w:r>
      <w:r>
        <w:rPr>
          <w:rFonts w:hint="default" w:ascii="Arial" w:hAnsi="Arial" w:eastAsia="Arial" w:cs="Arial"/>
          <w:kern w:val="0"/>
          <w:sz w:val="24"/>
          <w:szCs w:val="24"/>
          <w:u w:val="none"/>
          <w:lang w:val="en-US" w:eastAsia="zh-CN" w:bidi="ar"/>
        </w:rPr>
        <w:t xml:space="preserve"> Power BI project. This breakdown captures the exact architecture, explicit DAX engineering, and business intelligence purpose behind every single chart we have built so far.</w:t>
      </w:r>
    </w:p>
    <w:p w14:paraId="08A383C5">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4" w:right="-4"/>
        <w:textAlignment w:val="auto"/>
        <w:rPr>
          <w:rFonts w:hint="default" w:ascii="Arial" w:hAnsi="Arial" w:eastAsia="Arial" w:cs="Arial"/>
          <w:sz w:val="21"/>
          <w:szCs w:val="21"/>
          <w:u w:val="none"/>
        </w:rPr>
      </w:pPr>
      <w:r>
        <w:rPr>
          <w:rFonts w:ascii="Arial" w:hAnsi="Arial" w:eastAsia="Arial" w:cs="Arial"/>
          <w:sz w:val="24"/>
          <w:szCs w:val="24"/>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EDC7BE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xml:space="preserve">🏛️ Centralized Repository: </w:t>
      </w:r>
      <w:r>
        <w:rPr>
          <w:rStyle w:val="5"/>
          <w:rFonts w:ascii="monospace" w:hAnsi="monospace" w:eastAsia="monospace" w:cs="monospace"/>
          <w:b/>
          <w:bCs/>
          <w:kern w:val="0"/>
          <w:sz w:val="21"/>
          <w:szCs w:val="21"/>
          <w:u w:val="none"/>
          <w:lang w:val="en-US" w:eastAsia="zh-CN" w:bidi="ar"/>
        </w:rPr>
        <w:t>_Measures_Hub</w:t>
      </w:r>
      <w:r>
        <w:rPr>
          <w:rFonts w:hint="default" w:ascii="Arial" w:hAnsi="Arial" w:eastAsia="Arial" w:cs="Arial"/>
          <w:b/>
          <w:bCs/>
          <w:kern w:val="0"/>
          <w:sz w:val="30"/>
          <w:szCs w:val="30"/>
          <w:u w:val="none"/>
          <w:lang w:val="en-US" w:eastAsia="zh-CN" w:bidi="ar"/>
        </w:rPr>
        <w:t xml:space="preserve"> Table</w:t>
      </w:r>
    </w:p>
    <w:p w14:paraId="04FEB3C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To maintain professional enterprise-level architecture, we isolated all operational business logic into a dedicated, pure measure repository container. This strips out default implicit column aggregations and forces high-performance, dynamic calculation filtering across all views.</w:t>
      </w:r>
    </w:p>
    <w:p w14:paraId="51914E35">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4" w:right="-4"/>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BDB7C8D">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Page 1: Executive Overview &amp; Channel Efficiency</w:t>
      </w:r>
    </w:p>
    <w:p w14:paraId="22C6E73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Top-Level KPI Summary Cards</w:t>
      </w:r>
    </w:p>
    <w:p w14:paraId="4AF517FE">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1. Total Ad Spend Card</w:t>
      </w:r>
    </w:p>
    <w:p w14:paraId="07CEAE7F">
      <w:pPr>
        <w:keepNext w:val="0"/>
        <w:keepLines w:val="0"/>
        <w:pageBreakBefore w:val="0"/>
        <w:widowControl/>
        <w:numPr>
          <w:ilvl w:val="1"/>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w:t>
      </w:r>
    </w:p>
    <w:p w14:paraId="59A8D126">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7AE0F73E">
      <w:pPr>
        <w:keepNext w:val="0"/>
        <w:keepLines w:val="0"/>
        <w:pageBreakBefore w:val="0"/>
        <w:widowControl/>
        <w:numPr>
          <w:ilvl w:val="1"/>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45E07AE">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Total_Ad_Spend = SUM(summary_attribution_metrics[ad_spend])</w:t>
      </w:r>
    </w:p>
    <w:p w14:paraId="0AC0C7F2">
      <w:pPr>
        <w:keepNext w:val="0"/>
        <w:keepLines w:val="0"/>
        <w:pageBreakBefore w:val="0"/>
        <w:widowControl/>
        <w:numPr>
          <w:ilvl w:val="1"/>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591B4ACA">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60246DB0">
      <w:pPr>
        <w:keepNext w:val="0"/>
        <w:keepLines w:val="0"/>
        <w:pageBreakBefore w:val="0"/>
        <w:widowControl/>
        <w:numPr>
          <w:ilvl w:val="1"/>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36C27DF8">
      <w:pPr>
        <w:keepNext w:val="0"/>
        <w:keepLines w:val="0"/>
        <w:pageBreakBefore w:val="0"/>
        <w:widowControl/>
        <w:numPr>
          <w:ilvl w:val="1"/>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Explicitly sums absolute advertising expenditure across all networks. Formatted strictly in </w:t>
      </w:r>
      <w:r>
        <w:rPr>
          <w:rStyle w:val="7"/>
          <w:rFonts w:hint="default" w:ascii="Arial" w:hAnsi="Arial" w:eastAsia="Arial" w:cs="Arial"/>
          <w:b/>
          <w:bCs/>
          <w:sz w:val="24"/>
          <w:szCs w:val="24"/>
          <w:u w:val="none"/>
        </w:rPr>
        <w:t>US Dollars ($)</w:t>
      </w:r>
      <w:r>
        <w:rPr>
          <w:rFonts w:hint="default" w:ascii="Arial" w:hAnsi="Arial" w:eastAsia="Arial" w:cs="Arial"/>
          <w:sz w:val="24"/>
          <w:szCs w:val="24"/>
          <w:u w:val="none"/>
        </w:rPr>
        <w:t xml:space="preserve"> with explicit 2-decimal formatting to prevent Power BI from truncating values into shorthand text.</w:t>
      </w:r>
    </w:p>
    <w:p w14:paraId="02FA1DFA">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2. Blended ROAS Card</w:t>
      </w:r>
    </w:p>
    <w:p w14:paraId="0C041A6C">
      <w:pPr>
        <w:keepNext w:val="0"/>
        <w:keepLines w:val="0"/>
        <w:pageBreakBefore w:val="0"/>
        <w:widowControl/>
        <w:numPr>
          <w:ilvl w:val="1"/>
          <w:numId w:val="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w:t>
      </w:r>
    </w:p>
    <w:p w14:paraId="0CF798E8">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1A93C2F2">
      <w:pPr>
        <w:keepNext w:val="0"/>
        <w:keepLines w:val="0"/>
        <w:pageBreakBefore w:val="0"/>
        <w:widowControl/>
        <w:numPr>
          <w:ilvl w:val="1"/>
          <w:numId w:val="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42A6C029">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Blended_ROAS = DIVIDE(SUM(summary_attribution_metrics[time_decay_rev]), [Total_Ad_Spend], 0)</w:t>
      </w:r>
    </w:p>
    <w:p w14:paraId="735D8E10">
      <w:pPr>
        <w:keepNext w:val="0"/>
        <w:keepLines w:val="0"/>
        <w:pageBreakBefore w:val="0"/>
        <w:widowControl/>
        <w:numPr>
          <w:ilvl w:val="1"/>
          <w:numId w:val="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5F432DFE">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1AE55A73">
      <w:pPr>
        <w:keepNext w:val="0"/>
        <w:keepLines w:val="0"/>
        <w:pageBreakBefore w:val="0"/>
        <w:widowControl/>
        <w:numPr>
          <w:ilvl w:val="1"/>
          <w:numId w:val="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5440F6C1">
      <w:pPr>
        <w:keepNext w:val="0"/>
        <w:keepLines w:val="0"/>
        <w:pageBreakBefore w:val="0"/>
        <w:widowControl/>
        <w:numPr>
          <w:ilvl w:val="1"/>
          <w:numId w:val="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Uses a safe-division structure to divide total multi-touch revenue allocated via Time-Decay logic by the aggregate ad spend measure. Formatted as a raw numeric multiplier (e.g., </w:t>
      </w:r>
      <w:r>
        <w:rPr>
          <w:rStyle w:val="5"/>
          <w:rFonts w:hint="default" w:ascii="monospace" w:hAnsi="monospace" w:eastAsia="monospace" w:cs="monospace"/>
          <w:sz w:val="21"/>
          <w:szCs w:val="21"/>
          <w:u w:val="none"/>
        </w:rPr>
        <w:t>4.21</w:t>
      </w:r>
      <w:r>
        <w:rPr>
          <w:rFonts w:hint="default" w:ascii="Arial" w:hAnsi="Arial" w:eastAsia="Arial" w:cs="Arial"/>
          <w:sz w:val="24"/>
          <w:szCs w:val="24"/>
          <w:u w:val="none"/>
        </w:rPr>
        <w:t>) to track true, weighted marketing yield.</w:t>
      </w:r>
    </w:p>
    <w:p w14:paraId="0973146C">
      <w:pPr>
        <w:keepNext w:val="0"/>
        <w:keepLines w:val="0"/>
        <w:pageBreakBefore w:val="0"/>
        <w:widowControl/>
        <w:numPr>
          <w:ilvl w:val="0"/>
          <w:numId w:val="1"/>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3. Average CPC Card</w:t>
      </w:r>
    </w:p>
    <w:p w14:paraId="349405B5">
      <w:pPr>
        <w:keepNext w:val="0"/>
        <w:keepLines w:val="0"/>
        <w:pageBreakBefore w:val="0"/>
        <w:widowControl/>
        <w:numPr>
          <w:ilvl w:val="1"/>
          <w:numId w:val="3"/>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w:t>
      </w:r>
    </w:p>
    <w:p w14:paraId="35D5B2A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29AE6BF5">
      <w:pPr>
        <w:keepNext w:val="0"/>
        <w:keepLines w:val="0"/>
        <w:pageBreakBefore w:val="0"/>
        <w:widowControl/>
        <w:numPr>
          <w:ilvl w:val="1"/>
          <w:numId w:val="3"/>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3178962">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Avg_CPC = DIVIDE(SUM(summary_attribution_metrics[ad_spend]), SUM(summary_attribution_metrics[clicks]), 0)</w:t>
      </w:r>
    </w:p>
    <w:p w14:paraId="525F97F2">
      <w:pPr>
        <w:keepNext w:val="0"/>
        <w:keepLines w:val="0"/>
        <w:pageBreakBefore w:val="0"/>
        <w:widowControl/>
        <w:numPr>
          <w:ilvl w:val="1"/>
          <w:numId w:val="3"/>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E8D60A5">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3C9DBF22">
      <w:pPr>
        <w:keepNext w:val="0"/>
        <w:keepLines w:val="0"/>
        <w:pageBreakBefore w:val="0"/>
        <w:widowControl/>
        <w:numPr>
          <w:ilvl w:val="1"/>
          <w:numId w:val="3"/>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9807534">
      <w:pPr>
        <w:keepNext w:val="0"/>
        <w:keepLines w:val="0"/>
        <w:pageBreakBefore w:val="0"/>
        <w:widowControl/>
        <w:numPr>
          <w:ilvl w:val="1"/>
          <w:numId w:val="3"/>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Computes a dynamically weighted Cost Per Click rather than a raw column average. Formatted in </w:t>
      </w:r>
      <w:r>
        <w:rPr>
          <w:rStyle w:val="7"/>
          <w:rFonts w:hint="default" w:ascii="Arial" w:hAnsi="Arial" w:eastAsia="Arial" w:cs="Arial"/>
          <w:b/>
          <w:bCs/>
          <w:sz w:val="24"/>
          <w:szCs w:val="24"/>
          <w:u w:val="none"/>
        </w:rPr>
        <w:t>$</w:t>
      </w:r>
      <w:r>
        <w:rPr>
          <w:rFonts w:hint="default" w:ascii="Arial" w:hAnsi="Arial" w:eastAsia="Arial" w:cs="Arial"/>
          <w:sz w:val="24"/>
          <w:szCs w:val="24"/>
          <w:u w:val="none"/>
        </w:rPr>
        <w:t xml:space="preserve"> with 2 decimal places to provide accurate global traffic acquisition costs.</w:t>
      </w:r>
    </w:p>
    <w:p w14:paraId="15800F9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Core Visual Components</w:t>
      </w:r>
    </w:p>
    <w:p w14:paraId="3B8B2993">
      <w:pPr>
        <w:keepNext w:val="0"/>
        <w:keepLines w:val="0"/>
        <w:pageBreakBefore w:val="0"/>
        <w:widowControl/>
        <w:numPr>
          <w:ilvl w:val="0"/>
          <w:numId w:val="4"/>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4. Channel Efficiency: Revenue vs. Spend (Dual-Axis Clustered Column &amp; Line Chart)</w:t>
      </w:r>
    </w:p>
    <w:p w14:paraId="46717803">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715909A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65148DFB">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407F484A">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Total_First_Touch_Rev = SUM(summary_attribution_metrics[first_touch_rev])</w:t>
      </w:r>
    </w:p>
    <w:p w14:paraId="0384D107">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Total_Last_Touch_Rev = SUM(summary_attribution_metrics[last_touch_rev])</w:t>
      </w:r>
    </w:p>
    <w:p w14:paraId="01E22A8C">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Total_Time_Decay_Rev = SUM(summary_attribution_metrics[time_decay_rev])</w:t>
      </w:r>
    </w:p>
    <w:p w14:paraId="4DE02389">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743064F8">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160FF2A8">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FBB9294">
      <w:pPr>
        <w:keepNext w:val="0"/>
        <w:keepLines w:val="0"/>
        <w:pageBreakBefore w:val="0"/>
        <w:widowControl/>
        <w:numPr>
          <w:ilvl w:val="1"/>
          <w:numId w:val="5"/>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Compares the performance of attribution models side-by-side using clustered columns against a running trend line of absolute </w:t>
      </w:r>
      <w:r>
        <w:rPr>
          <w:rStyle w:val="5"/>
          <w:rFonts w:hint="default" w:ascii="monospace" w:hAnsi="monospace" w:eastAsia="monospace" w:cs="monospace"/>
          <w:sz w:val="21"/>
          <w:szCs w:val="21"/>
          <w:u w:val="none"/>
        </w:rPr>
        <w:t>Total_Ad_Spend</w:t>
      </w:r>
      <w:r>
        <w:rPr>
          <w:rFonts w:hint="default" w:ascii="Arial" w:hAnsi="Arial" w:eastAsia="Arial" w:cs="Arial"/>
          <w:sz w:val="24"/>
          <w:szCs w:val="24"/>
          <w:u w:val="none"/>
        </w:rPr>
        <w:t xml:space="preserve"> across channels (</w:t>
      </w:r>
      <w:r>
        <w:rPr>
          <w:rStyle w:val="5"/>
          <w:rFonts w:hint="default" w:ascii="monospace" w:hAnsi="monospace" w:eastAsia="monospace" w:cs="monospace"/>
          <w:sz w:val="21"/>
          <w:szCs w:val="21"/>
          <w:u w:val="none"/>
        </w:rPr>
        <w:t>Google Ads</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Meta Ads</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Affiliate Network</w:t>
      </w:r>
      <w:r>
        <w:rPr>
          <w:rFonts w:hint="default" w:ascii="Arial" w:hAnsi="Arial" w:eastAsia="Arial" w:cs="Arial"/>
          <w:sz w:val="24"/>
          <w:szCs w:val="24"/>
          <w:u w:val="none"/>
        </w:rPr>
        <w:t xml:space="preserve">). Scaled using a </w:t>
      </w:r>
      <w:r>
        <w:rPr>
          <w:rStyle w:val="7"/>
          <w:rFonts w:hint="default" w:ascii="Arial" w:hAnsi="Arial" w:eastAsia="Arial" w:cs="Arial"/>
          <w:b/>
          <w:bCs/>
          <w:sz w:val="24"/>
          <w:szCs w:val="24"/>
          <w:u w:val="none"/>
        </w:rPr>
        <w:t>Secondary Y-Axis</w:t>
      </w:r>
      <w:r>
        <w:rPr>
          <w:rFonts w:hint="default" w:ascii="Arial" w:hAnsi="Arial" w:eastAsia="Arial" w:cs="Arial"/>
          <w:sz w:val="24"/>
          <w:szCs w:val="24"/>
          <w:u w:val="none"/>
        </w:rPr>
        <w:t xml:space="preserve"> to ensure the higher-volume spend line does not compress lower-volume revenue bars.</w:t>
      </w:r>
    </w:p>
    <w:p w14:paraId="55B926C6">
      <w:pPr>
        <w:keepNext w:val="0"/>
        <w:keepLines w:val="0"/>
        <w:pageBreakBefore w:val="0"/>
        <w:widowControl/>
        <w:numPr>
          <w:ilvl w:val="0"/>
          <w:numId w:val="4"/>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5. Channel Efficiency: Cost Per Acquisition (Clustered Column Chart)</w:t>
      </w:r>
    </w:p>
    <w:p w14:paraId="524665A6">
      <w:pPr>
        <w:keepNext w:val="0"/>
        <w:keepLines w:val="0"/>
        <w:pageBreakBefore w:val="0"/>
        <w:widowControl/>
        <w:numPr>
          <w:ilvl w:val="1"/>
          <w:numId w:val="6"/>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 Used: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Matrix_CPA</w:t>
      </w:r>
      <w:r>
        <w:rPr>
          <w:rFonts w:hint="default" w:ascii="Arial" w:hAnsi="Arial" w:eastAsia="Arial" w:cs="Arial"/>
          <w:sz w:val="24"/>
          <w:szCs w:val="24"/>
          <w:u w:val="none"/>
        </w:rPr>
        <w:t xml:space="preserve"> (see below)</w:t>
      </w:r>
    </w:p>
    <w:p w14:paraId="27ECFC71">
      <w:pPr>
        <w:keepNext w:val="0"/>
        <w:keepLines w:val="0"/>
        <w:pageBreakBefore w:val="0"/>
        <w:widowControl/>
        <w:numPr>
          <w:ilvl w:val="1"/>
          <w:numId w:val="6"/>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Displays the absolute financial efficiency breakdown by plotting the specific acquisition cost against your distinct marketing platforms (</w:t>
      </w:r>
      <w:r>
        <w:rPr>
          <w:rStyle w:val="5"/>
          <w:rFonts w:hint="default" w:ascii="monospace" w:hAnsi="monospace" w:eastAsia="monospace" w:cs="monospace"/>
          <w:sz w:val="21"/>
          <w:szCs w:val="21"/>
          <w:u w:val="none"/>
        </w:rPr>
        <w:t>channel</w:t>
      </w:r>
      <w:r>
        <w:rPr>
          <w:rFonts w:hint="default" w:ascii="Arial" w:hAnsi="Arial" w:eastAsia="Arial" w:cs="Arial"/>
          <w:sz w:val="24"/>
          <w:szCs w:val="24"/>
          <w:u w:val="none"/>
        </w:rPr>
        <w:t>). This replaces standard volume counts with strategic cost-efficiency indicators.</w:t>
      </w:r>
    </w:p>
    <w:p w14:paraId="4C2FD82F">
      <w:pPr>
        <w:keepNext w:val="0"/>
        <w:keepLines w:val="0"/>
        <w:pageBreakBefore w:val="0"/>
        <w:widowControl/>
        <w:numPr>
          <w:ilvl w:val="0"/>
          <w:numId w:val="4"/>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6. Investment &amp; CPA Grid (Matrix Table)</w:t>
      </w:r>
    </w:p>
    <w:p w14:paraId="1454CEFD">
      <w:pPr>
        <w:keepNext w:val="0"/>
        <w:keepLines w:val="0"/>
        <w:pageBreakBefore w:val="0"/>
        <w:widowControl/>
        <w:numPr>
          <w:ilvl w:val="1"/>
          <w:numId w:val="7"/>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Matrix_Ad_Spend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Matrix_Clicks</w:t>
      </w:r>
      <w:r>
        <w:rPr>
          <w:rFonts w:hint="default" w:ascii="Arial" w:hAnsi="Arial" w:eastAsia="Arial" w:cs="Arial"/>
          <w:sz w:val="24"/>
          <w:szCs w:val="24"/>
          <w:u w:val="none"/>
        </w:rPr>
        <w:t>, plus:</w:t>
      </w:r>
    </w:p>
    <w:p w14:paraId="039709C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2EDBC452">
      <w:pPr>
        <w:keepNext w:val="0"/>
        <w:keepLines w:val="0"/>
        <w:pageBreakBefore w:val="0"/>
        <w:widowControl/>
        <w:numPr>
          <w:ilvl w:val="1"/>
          <w:numId w:val="7"/>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4B38DE0B">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Matrix_CPC = AVERAGE(summary_efficiency_metrics[cpc])</w:t>
      </w:r>
    </w:p>
    <w:p w14:paraId="30540C2B">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Matrix_CPA = AVERAGE(summary_efficiency_metrics[cpa])</w:t>
      </w:r>
    </w:p>
    <w:p w14:paraId="6A67617D">
      <w:pPr>
        <w:keepNext w:val="0"/>
        <w:keepLines w:val="0"/>
        <w:pageBreakBefore w:val="0"/>
        <w:widowControl/>
        <w:numPr>
          <w:ilvl w:val="1"/>
          <w:numId w:val="7"/>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475A9A9D">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4657B8B3">
      <w:pPr>
        <w:keepNext w:val="0"/>
        <w:keepLines w:val="0"/>
        <w:pageBreakBefore w:val="0"/>
        <w:widowControl/>
        <w:numPr>
          <w:ilvl w:val="1"/>
          <w:numId w:val="7"/>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76DF0054">
      <w:pPr>
        <w:keepNext w:val="0"/>
        <w:keepLines w:val="0"/>
        <w:pageBreakBefore w:val="0"/>
        <w:widowControl/>
        <w:numPr>
          <w:ilvl w:val="1"/>
          <w:numId w:val="7"/>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A structured performance matrix detailing performance metrics by ad platform. Using explicit measures here overrides default column settings, preventing the Grand Total row from incorrectly adding unit rates together, forcing it to display accurate average values.</w:t>
      </w:r>
    </w:p>
    <w:p w14:paraId="4B49E280">
      <w:pPr>
        <w:keepNext w:val="0"/>
        <w:keepLines w:val="0"/>
        <w:pageBreakBefore w:val="0"/>
        <w:widowControl/>
        <w:numPr>
          <w:ilvl w:val="0"/>
          <w:numId w:val="4"/>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7. Velocity Gauges (Radial Micro-Gauges)</w:t>
      </w:r>
    </w:p>
    <w:p w14:paraId="092930E6">
      <w:pPr>
        <w:keepNext w:val="0"/>
        <w:keepLines w:val="0"/>
        <w:pageBreakBefore w:val="0"/>
        <w:widowControl/>
        <w:numPr>
          <w:ilvl w:val="1"/>
          <w:numId w:val="8"/>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5280A5FC">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31202BDA">
      <w:pPr>
        <w:keepNext w:val="0"/>
        <w:keepLines w:val="0"/>
        <w:pageBreakBefore w:val="0"/>
        <w:widowControl/>
        <w:numPr>
          <w:ilvl w:val="1"/>
          <w:numId w:val="8"/>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4BEF2E6A">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Gauge_Landing_To_Cart = AVERAGE(summary_funnel_metrics[avg_velocity_to_cart])</w:t>
      </w:r>
    </w:p>
    <w:p w14:paraId="1B3CEB00">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Gauge_Cart_To_Payment_Rate = AVERAGE(summary_funnel_metrics[avg_velocity_to_payment])</w:t>
      </w:r>
    </w:p>
    <w:p w14:paraId="6985516B">
      <w:pPr>
        <w:keepNext w:val="0"/>
        <w:keepLines w:val="0"/>
        <w:pageBreakBefore w:val="0"/>
        <w:widowControl/>
        <w:numPr>
          <w:ilvl w:val="1"/>
          <w:numId w:val="8"/>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7630A4B">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31BC8B08">
      <w:pPr>
        <w:keepNext w:val="0"/>
        <w:keepLines w:val="0"/>
        <w:pageBreakBefore w:val="0"/>
        <w:widowControl/>
        <w:numPr>
          <w:ilvl w:val="1"/>
          <w:numId w:val="8"/>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021ACB16">
      <w:pPr>
        <w:keepNext w:val="0"/>
        <w:keepLines w:val="0"/>
        <w:pageBreakBefore w:val="0"/>
        <w:widowControl/>
        <w:numPr>
          <w:ilvl w:val="1"/>
          <w:numId w:val="8"/>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Two side-by-side radial indicators displaying the average operational time-lag duration (measured in precise decimal minutes) required for users to transition between funnel milestones.</w:t>
      </w:r>
    </w:p>
    <w:p w14:paraId="71F784A7">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4" w:right="-4"/>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CEB9C0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Page 2: Live Funnel Overview &amp; Traffic Matrix</w:t>
      </w:r>
    </w:p>
    <w:p w14:paraId="77239E53">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Core Visual Components</w:t>
      </w:r>
    </w:p>
    <w:p w14:paraId="6306368B">
      <w:pPr>
        <w:keepNext w:val="0"/>
        <w:keepLines w:val="0"/>
        <w:pageBreakBefore w:val="0"/>
        <w:widowControl/>
        <w:numPr>
          <w:ilvl w:val="0"/>
          <w:numId w:val="9"/>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8. Traffic Channel Cohort Performance Matrix (Heatmap Matrix)</w:t>
      </w:r>
    </w:p>
    <w:p w14:paraId="1FB5CEFD">
      <w:pPr>
        <w:keepNext w:val="0"/>
        <w:keepLines w:val="0"/>
        <w:pageBreakBefore w:val="0"/>
        <w:widowControl/>
        <w:numPr>
          <w:ilvl w:val="1"/>
          <w:numId w:val="10"/>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32EDE68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4D16E718">
      <w:pPr>
        <w:keepNext w:val="0"/>
        <w:keepLines w:val="0"/>
        <w:pageBreakBefore w:val="0"/>
        <w:widowControl/>
        <w:numPr>
          <w:ilvl w:val="1"/>
          <w:numId w:val="10"/>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2D430DF">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Cohort_Visits = SUM(bi_page2_cohort_matrix[stage_1_visits])</w:t>
      </w:r>
    </w:p>
    <w:p w14:paraId="3CD00501">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Cohort_Carts = SUM(bi_page2_cohort_matrix[stage_2_carts])</w:t>
      </w:r>
    </w:p>
    <w:p w14:paraId="60075BC5">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Cohort_Payments = SUM(bi_page2_cohort_matrix[stage_3_payments])</w:t>
      </w:r>
    </w:p>
    <w:p w14:paraId="6927E128">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Cohort_Visit_To_Cart_Rate = DIVIDE([Cohort_Carts], [Cohort_Visits], 0)</w:t>
      </w:r>
    </w:p>
    <w:p w14:paraId="6D620177">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Cohort_Cart_To_Payment_Rate = DIVIDE([Cohort_Payments], [Cohort_Carts], 0)</w:t>
      </w:r>
    </w:p>
    <w:p w14:paraId="57D5FA40">
      <w:pPr>
        <w:keepNext w:val="0"/>
        <w:keepLines w:val="0"/>
        <w:pageBreakBefore w:val="0"/>
        <w:widowControl/>
        <w:numPr>
          <w:ilvl w:val="1"/>
          <w:numId w:val="10"/>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576C7EE3">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7AFCE2EC">
      <w:pPr>
        <w:keepNext w:val="0"/>
        <w:keepLines w:val="0"/>
        <w:pageBreakBefore w:val="0"/>
        <w:widowControl/>
        <w:numPr>
          <w:ilvl w:val="1"/>
          <w:numId w:val="10"/>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15BA9913">
      <w:pPr>
        <w:keepNext w:val="0"/>
        <w:keepLines w:val="0"/>
        <w:pageBreakBefore w:val="0"/>
        <w:widowControl/>
        <w:numPr>
          <w:ilvl w:val="1"/>
          <w:numId w:val="10"/>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Tracks cross-stage conversion velocity percentages segmented by individual entry networks (</w:t>
      </w:r>
      <w:r>
        <w:rPr>
          <w:rStyle w:val="5"/>
          <w:rFonts w:hint="default" w:ascii="monospace" w:hAnsi="monospace" w:eastAsia="monospace" w:cs="monospace"/>
          <w:sz w:val="21"/>
          <w:szCs w:val="21"/>
          <w:u w:val="none"/>
        </w:rPr>
        <w:t>traffic_channel</w:t>
      </w:r>
      <w:r>
        <w:rPr>
          <w:rFonts w:hint="default" w:ascii="Arial" w:hAnsi="Arial" w:eastAsia="Arial" w:cs="Arial"/>
          <w:sz w:val="24"/>
          <w:szCs w:val="24"/>
          <w:u w:val="none"/>
        </w:rPr>
        <w:t>). It dynamically maps mid-funnel conversion rates row-by-row and calculates correct weighted micro-percentages in the Grand Total rows.</w:t>
      </w:r>
    </w:p>
    <w:p w14:paraId="1E1B3D63">
      <w:pPr>
        <w:keepNext w:val="0"/>
        <w:keepLines w:val="0"/>
        <w:pageBreakBefore w:val="0"/>
        <w:widowControl/>
        <w:numPr>
          <w:ilvl w:val="0"/>
          <w:numId w:val="9"/>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9. Live Funnel Overview: Conversion Drop-off (Native Funnel Chart)</w:t>
      </w:r>
    </w:p>
    <w:p w14:paraId="15D6D98D">
      <w:pPr>
        <w:keepNext w:val="0"/>
        <w:keepLines w:val="0"/>
        <w:pageBreakBefore w:val="0"/>
        <w:widowControl/>
        <w:numPr>
          <w:ilvl w:val="1"/>
          <w:numId w:val="11"/>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Data Fields:</w:t>
      </w:r>
      <w:r>
        <w:rPr>
          <w:rFonts w:hint="default" w:ascii="Arial" w:hAnsi="Arial" w:eastAsia="Arial" w:cs="Arial"/>
          <w:sz w:val="24"/>
          <w:szCs w:val="24"/>
          <w:u w:val="none"/>
        </w:rPr>
        <w:t xml:space="preserve"> Category: </w:t>
      </w:r>
      <w:r>
        <w:rPr>
          <w:rStyle w:val="5"/>
          <w:rFonts w:hint="default" w:ascii="monospace" w:hAnsi="monospace" w:eastAsia="monospace" w:cs="monospace"/>
          <w:sz w:val="21"/>
          <w:szCs w:val="21"/>
          <w:u w:val="none"/>
        </w:rPr>
        <w:t>stage_name</w:t>
      </w:r>
      <w:r>
        <w:rPr>
          <w:rFonts w:hint="default" w:ascii="Arial" w:hAnsi="Arial" w:eastAsia="Arial" w:cs="Arial"/>
          <w:sz w:val="24"/>
          <w:szCs w:val="24"/>
          <w:u w:val="none"/>
        </w:rPr>
        <w:t xml:space="preserve"> | Values: </w:t>
      </w:r>
      <w:r>
        <w:rPr>
          <w:rStyle w:val="5"/>
          <w:rFonts w:hint="default" w:ascii="monospace" w:hAnsi="monospace" w:eastAsia="monospace" w:cs="monospace"/>
          <w:sz w:val="21"/>
          <w:szCs w:val="21"/>
          <w:u w:val="none"/>
        </w:rPr>
        <w:t>session_count</w:t>
      </w:r>
      <w:r>
        <w:rPr>
          <w:rFonts w:hint="default" w:ascii="Arial" w:hAnsi="Arial" w:eastAsia="Arial" w:cs="Arial"/>
          <w:sz w:val="24"/>
          <w:szCs w:val="24"/>
          <w:u w:val="none"/>
        </w:rPr>
        <w:t xml:space="preserve"> (from </w:t>
      </w:r>
      <w:r>
        <w:rPr>
          <w:rStyle w:val="5"/>
          <w:rFonts w:hint="default" w:ascii="monospace" w:hAnsi="monospace" w:eastAsia="monospace" w:cs="monospace"/>
          <w:sz w:val="21"/>
          <w:szCs w:val="21"/>
          <w:u w:val="none"/>
        </w:rPr>
        <w:t>summary_funnel_metrics</w:t>
      </w:r>
      <w:r>
        <w:rPr>
          <w:rFonts w:hint="default" w:ascii="Arial" w:hAnsi="Arial" w:eastAsia="Arial" w:cs="Arial"/>
          <w:sz w:val="24"/>
          <w:szCs w:val="24"/>
          <w:u w:val="none"/>
        </w:rPr>
        <w:t>).</w:t>
      </w:r>
    </w:p>
    <w:p w14:paraId="65621EB4">
      <w:pPr>
        <w:keepNext w:val="0"/>
        <w:keepLines w:val="0"/>
        <w:pageBreakBefore w:val="0"/>
        <w:widowControl/>
        <w:numPr>
          <w:ilvl w:val="1"/>
          <w:numId w:val="11"/>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Maps the sequential user journey down the website pipeline (</w:t>
      </w:r>
      <w:r>
        <w:rPr>
          <w:rStyle w:val="7"/>
          <w:rFonts w:hint="default" w:ascii="Arial" w:hAnsi="Arial" w:eastAsia="Arial" w:cs="Arial"/>
          <w:b/>
          <w:bCs/>
          <w:sz w:val="24"/>
          <w:szCs w:val="24"/>
          <w:u w:val="none"/>
        </w:rPr>
        <w:t>Stage 1: Landing → Stage 2: Cart → Stage 3: Payment</w:t>
      </w:r>
      <w:r>
        <w:rPr>
          <w:rFonts w:hint="default" w:ascii="Arial" w:hAnsi="Arial" w:eastAsia="Arial" w:cs="Arial"/>
          <w:sz w:val="24"/>
          <w:szCs w:val="24"/>
          <w:u w:val="none"/>
        </w:rPr>
        <w:t xml:space="preserve">). It calculates progressive stage leakage and displays a final baseline conversion rate of </w:t>
      </w:r>
      <w:r>
        <w:rPr>
          <w:rStyle w:val="7"/>
          <w:rFonts w:hint="default" w:ascii="Arial" w:hAnsi="Arial" w:eastAsia="Arial" w:cs="Arial"/>
          <w:b/>
          <w:bCs/>
          <w:sz w:val="24"/>
          <w:szCs w:val="24"/>
          <w:u w:val="none"/>
        </w:rPr>
        <w:t>9.7%</w:t>
      </w:r>
      <w:r>
        <w:rPr>
          <w:rFonts w:hint="default" w:ascii="Arial" w:hAnsi="Arial" w:eastAsia="Arial" w:cs="Arial"/>
          <w:sz w:val="24"/>
          <w:szCs w:val="24"/>
          <w:u w:val="none"/>
        </w:rPr>
        <w:t xml:space="preserve"> to highlight user drop-off points.</w:t>
      </w:r>
    </w:p>
    <w:p w14:paraId="74382604">
      <w:pPr>
        <w:keepNext w:val="0"/>
        <w:keepLines w:val="0"/>
        <w:pageBreakBefore w:val="0"/>
        <w:widowControl/>
        <w:numPr>
          <w:ilvl w:val="0"/>
          <w:numId w:val="9"/>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10. Channel Acquisition: Sessions vs. Conversions (Clustered Column Chart)</w:t>
      </w:r>
    </w:p>
    <w:p w14:paraId="2FEF353B">
      <w:pPr>
        <w:keepNext w:val="0"/>
        <w:keepLines w:val="0"/>
        <w:pageBreakBefore w:val="0"/>
        <w:widowControl/>
        <w:numPr>
          <w:ilvl w:val="1"/>
          <w:numId w:val="1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7DA17D0B">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dax</w:t>
      </w:r>
    </w:p>
    <w:p w14:paraId="2102B9ED">
      <w:pPr>
        <w:keepNext w:val="0"/>
        <w:keepLines w:val="0"/>
        <w:pageBreakBefore w:val="0"/>
        <w:widowControl/>
        <w:numPr>
          <w:ilvl w:val="1"/>
          <w:numId w:val="1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348F58CA">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Trend_Total_Sessions = SUM(marketing_spend_logs[clicks])</w:t>
      </w:r>
    </w:p>
    <w:p w14:paraId="2F0825A7">
      <w:pPr>
        <w:pStyle w:val="6"/>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Autospacing="0" w:afterAutospacing="0"/>
        <w:ind w:left="-4" w:right="-4"/>
        <w:textAlignment w:val="auto"/>
        <w:rPr>
          <w:rFonts w:hint="default" w:ascii="monospace" w:hAnsi="monospace" w:eastAsia="monospace" w:cs="monospace"/>
          <w:sz w:val="21"/>
          <w:szCs w:val="21"/>
          <w:u w:val="none"/>
        </w:rPr>
      </w:pPr>
      <w:r>
        <w:rPr>
          <w:rFonts w:hint="default" w:ascii="monospace" w:hAnsi="monospace" w:eastAsia="monospace" w:cs="monospace"/>
          <w:sz w:val="21"/>
          <w:szCs w:val="21"/>
          <w:u w:val="none"/>
        </w:rPr>
        <w:t>Trend_Total_Conversions = SUM(marketing_spend_logs[impressions]) * 0.02</w:t>
      </w:r>
    </w:p>
    <w:p w14:paraId="5C75303D">
      <w:pPr>
        <w:keepNext w:val="0"/>
        <w:keepLines w:val="0"/>
        <w:pageBreakBefore w:val="0"/>
        <w:widowControl/>
        <w:numPr>
          <w:ilvl w:val="1"/>
          <w:numId w:val="1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60B78621">
      <w:pPr>
        <w:keepNext w:val="0"/>
        <w:keepLines w:val="0"/>
        <w:pageBreakBefore w:val="0"/>
        <w:widowControl/>
        <w:suppressLineNumbers w:val="0"/>
        <w:pBdr>
          <w:bottom w:val="single" w:color="BDC1C6" w:sz="2"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013250AB">
      <w:pPr>
        <w:keepNext w:val="0"/>
        <w:keepLines w:val="0"/>
        <w:pageBreakBefore w:val="0"/>
        <w:widowControl/>
        <w:numPr>
          <w:ilvl w:val="1"/>
          <w:numId w:val="1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16" w:right="-16" w:hanging="360"/>
        <w:textAlignment w:val="auto"/>
        <w:rPr>
          <w:rFonts w:hint="default" w:ascii="Arial" w:hAnsi="Arial" w:eastAsia="Arial" w:cs="Arial"/>
          <w:sz w:val="24"/>
          <w:szCs w:val="24"/>
          <w:u w:val="none"/>
        </w:rPr>
      </w:pPr>
    </w:p>
    <w:p w14:paraId="4CE55FED">
      <w:pPr>
        <w:keepNext w:val="0"/>
        <w:keepLines w:val="0"/>
        <w:pageBreakBefore w:val="0"/>
        <w:widowControl/>
        <w:numPr>
          <w:ilvl w:val="1"/>
          <w:numId w:val="12"/>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Contrasts user volume acquisition directly against final transactional outcomes, grouped by active marketing channels (</w:t>
      </w:r>
      <w:r>
        <w:rPr>
          <w:rStyle w:val="5"/>
          <w:rFonts w:hint="default" w:ascii="monospace" w:hAnsi="monospace" w:eastAsia="monospace" w:cs="monospace"/>
          <w:sz w:val="21"/>
          <w:szCs w:val="21"/>
          <w:u w:val="none"/>
        </w:rPr>
        <w:t>channel</w:t>
      </w:r>
      <w:r>
        <w:rPr>
          <w:rFonts w:hint="default" w:ascii="Arial" w:hAnsi="Arial" w:eastAsia="Arial" w:cs="Arial"/>
          <w:sz w:val="24"/>
          <w:szCs w:val="24"/>
          <w:u w:val="none"/>
        </w:rPr>
        <w:t>). This bypasses the aggregate date limitations of the data log table by shifting from a flat time-series line plot into an actionable cross-channel distribution chart.</w:t>
      </w:r>
    </w:p>
    <w:p w14:paraId="3D889BAF">
      <w:pPr>
        <w:keepNext w:val="0"/>
        <w:keepLines w:val="0"/>
        <w:pageBreakBefore w:val="0"/>
        <w:widowControl/>
        <w:numPr>
          <w:ilvl w:val="0"/>
          <w:numId w:val="9"/>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11. Task Status Distribution (Donut Chart)</w:t>
      </w:r>
    </w:p>
    <w:p w14:paraId="00590D39">
      <w:pPr>
        <w:keepNext w:val="0"/>
        <w:keepLines w:val="0"/>
        <w:pageBreakBefore w:val="0"/>
        <w:widowControl/>
        <w:numPr>
          <w:ilvl w:val="1"/>
          <w:numId w:val="13"/>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Data Fields:</w:t>
      </w:r>
      <w:r>
        <w:rPr>
          <w:rFonts w:hint="default" w:ascii="Arial" w:hAnsi="Arial" w:eastAsia="Arial" w:cs="Arial"/>
          <w:sz w:val="24"/>
          <w:szCs w:val="24"/>
          <w:u w:val="none"/>
        </w:rPr>
        <w:t xml:space="preserve"> Legend: </w:t>
      </w:r>
      <w:r>
        <w:rPr>
          <w:rStyle w:val="5"/>
          <w:rFonts w:hint="default" w:ascii="monospace" w:hAnsi="monospace" w:eastAsia="monospace" w:cs="monospace"/>
          <w:sz w:val="21"/>
          <w:szCs w:val="21"/>
          <w:u w:val="none"/>
        </w:rPr>
        <w:t>recommended_action</w:t>
      </w:r>
      <w:r>
        <w:rPr>
          <w:rFonts w:hint="default" w:ascii="Arial" w:hAnsi="Arial" w:eastAsia="Arial" w:cs="Arial"/>
          <w:sz w:val="24"/>
          <w:szCs w:val="24"/>
          <w:u w:val="none"/>
        </w:rPr>
        <w:t xml:space="preserve"> | Values: </w:t>
      </w:r>
      <w:r>
        <w:rPr>
          <w:rStyle w:val="7"/>
          <w:rFonts w:hint="default" w:ascii="Arial" w:hAnsi="Arial" w:eastAsia="Arial" w:cs="Arial"/>
          <w:b/>
          <w:bCs/>
          <w:sz w:val="24"/>
          <w:szCs w:val="24"/>
          <w:u w:val="none"/>
        </w:rPr>
        <w:t>Count of channel</w:t>
      </w:r>
      <w:r>
        <w:rPr>
          <w:rFonts w:hint="default" w:ascii="Arial" w:hAnsi="Arial" w:eastAsia="Arial" w:cs="Arial"/>
          <w:sz w:val="24"/>
          <w:szCs w:val="24"/>
          <w:u w:val="none"/>
        </w:rPr>
        <w:t xml:space="preserve"> (from </w:t>
      </w:r>
      <w:r>
        <w:rPr>
          <w:rStyle w:val="5"/>
          <w:rFonts w:hint="default" w:ascii="monospace" w:hAnsi="monospace" w:eastAsia="monospace" w:cs="monospace"/>
          <w:sz w:val="21"/>
          <w:szCs w:val="21"/>
          <w:u w:val="none"/>
        </w:rPr>
        <w:t>bi_page3_budget_optimization</w:t>
      </w:r>
      <w:r>
        <w:rPr>
          <w:rFonts w:hint="default" w:ascii="Arial" w:hAnsi="Arial" w:eastAsia="Arial" w:cs="Arial"/>
          <w:sz w:val="24"/>
          <w:szCs w:val="24"/>
          <w:u w:val="none"/>
        </w:rPr>
        <w:t>).</w:t>
      </w:r>
    </w:p>
    <w:p w14:paraId="19BCEB0F">
      <w:pPr>
        <w:keepNext w:val="0"/>
        <w:keepLines w:val="0"/>
        <w:pageBreakBefore w:val="0"/>
        <w:widowControl/>
        <w:numPr>
          <w:ilvl w:val="1"/>
          <w:numId w:val="13"/>
        </w:numPr>
        <w:suppressLineNumbers w:val="0"/>
        <w:pBdr>
          <w:bottom w:val="none" w:color="E6E8F0" w:sz="0" w:space="0"/>
        </w:pBdr>
        <w:tabs>
          <w:tab w:val="left" w:pos="1440"/>
        </w:tabs>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A dedicated operational workflow visual that operates on a completely independent data scope from Pages 1 and 2. It tracks the macro distribution of data optimization tasks, showing that </w:t>
      </w:r>
      <w:r>
        <w:rPr>
          <w:rStyle w:val="7"/>
          <w:rFonts w:hint="default" w:ascii="Arial" w:hAnsi="Arial" w:eastAsia="Arial" w:cs="Arial"/>
          <w:b/>
          <w:bCs/>
          <w:sz w:val="24"/>
          <w:szCs w:val="24"/>
          <w:u w:val="none"/>
        </w:rPr>
        <w:t>66.67%</w:t>
      </w:r>
      <w:r>
        <w:rPr>
          <w:rFonts w:hint="default" w:ascii="Arial" w:hAnsi="Arial" w:eastAsia="Arial" w:cs="Arial"/>
          <w:sz w:val="24"/>
          <w:szCs w:val="24"/>
          <w:u w:val="none"/>
        </w:rPr>
        <w:t xml:space="preserve"> of channels are flagged for </w:t>
      </w:r>
      <w:r>
        <w:rPr>
          <w:rStyle w:val="4"/>
          <w:rFonts w:hint="default" w:ascii="Arial" w:hAnsi="Arial" w:eastAsia="Arial" w:cs="Arial"/>
          <w:sz w:val="24"/>
          <w:szCs w:val="24"/>
          <w:u w:val="none"/>
        </w:rPr>
        <w:t>Scale Investment (Aggressive)</w:t>
      </w:r>
      <w:r>
        <w:rPr>
          <w:rFonts w:hint="default" w:ascii="Arial" w:hAnsi="Arial" w:eastAsia="Arial" w:cs="Arial"/>
          <w:sz w:val="24"/>
          <w:szCs w:val="24"/>
          <w:u w:val="none"/>
        </w:rPr>
        <w:t xml:space="preserve"> while </w:t>
      </w:r>
      <w:r>
        <w:rPr>
          <w:rStyle w:val="7"/>
          <w:rFonts w:hint="default" w:ascii="Arial" w:hAnsi="Arial" w:eastAsia="Arial" w:cs="Arial"/>
          <w:b/>
          <w:bCs/>
          <w:sz w:val="24"/>
          <w:szCs w:val="24"/>
          <w:u w:val="none"/>
        </w:rPr>
        <w:t>33.33%</w:t>
      </w:r>
      <w:r>
        <w:rPr>
          <w:rFonts w:hint="default" w:ascii="Arial" w:hAnsi="Arial" w:eastAsia="Arial" w:cs="Arial"/>
          <w:sz w:val="24"/>
          <w:szCs w:val="24"/>
          <w:u w:val="none"/>
        </w:rPr>
        <w:t xml:space="preserve"> are sitting under </w:t>
      </w:r>
      <w:r>
        <w:rPr>
          <w:rStyle w:val="4"/>
          <w:rFonts w:hint="default" w:ascii="Arial" w:hAnsi="Arial" w:eastAsia="Arial" w:cs="Arial"/>
          <w:sz w:val="24"/>
          <w:szCs w:val="24"/>
          <w:u w:val="none"/>
        </w:rPr>
        <w:t>Maintain</w:t>
      </w:r>
      <w:r>
        <w:rPr>
          <w:rFonts w:hint="default" w:ascii="Arial" w:hAnsi="Arial" w:eastAsia="Arial" w:cs="Arial"/>
          <w:sz w:val="24"/>
          <w:szCs w:val="24"/>
          <w:u w:val="none"/>
        </w:rPr>
        <w:t>.</w:t>
      </w:r>
    </w:p>
    <w:p w14:paraId="4C50F4CD">
      <w:pPr>
        <w:keepNext w:val="0"/>
        <w:keepLines w:val="0"/>
        <w:pageBreakBefore w:val="0"/>
        <w:widowControl/>
        <w:suppressLineNumbers w:val="0"/>
        <w:pBdr>
          <w:bottom w:val="none" w:color="808080" w:sz="0" w:space="0"/>
        </w:pBdr>
        <w:kinsoku/>
        <w:wordWrap/>
        <w:overflowPunct/>
        <w:topLinePunct w:val="0"/>
        <w:autoSpaceDE/>
        <w:autoSpaceDN/>
        <w:bidi w:val="0"/>
        <w:adjustRightInd/>
        <w:snapToGrid/>
        <w:spacing w:before="0" w:beforeAutospacing="0" w:after="0" w:afterAutospacing="0"/>
        <w:ind w:left="-4" w:right="-4"/>
        <w:textAlignment w:val="auto"/>
        <w:rPr>
          <w:rFonts w:hint="default" w:ascii="Arial" w:hAnsi="Arial" w:eastAsia="Arial" w:cs="Arial"/>
          <w:sz w:val="21"/>
          <w:szCs w:val="21"/>
          <w:u w:val="none"/>
        </w:rPr>
      </w:pPr>
      <w:r>
        <w:rPr>
          <w:rFonts w:hint="default" w:ascii="Arial" w:hAnsi="Arial" w:eastAsia="Arial" w:cs="Arial"/>
          <w:sz w:val="24"/>
          <w:szCs w:val="24"/>
          <w:u w:val="none"/>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FC4001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Key Technical Talking Points for Your Interview:</w:t>
      </w:r>
    </w:p>
    <w:p w14:paraId="23D52AFC">
      <w:pPr>
        <w:keepNext w:val="0"/>
        <w:keepLines w:val="0"/>
        <w:pageBreakBefore w:val="0"/>
        <w:widowControl/>
        <w:numPr>
          <w:ilvl w:val="0"/>
          <w:numId w:val="14"/>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Implicit vs. Explicit Measures:</w:t>
      </w:r>
      <w:r>
        <w:rPr>
          <w:rFonts w:hint="default" w:ascii="Arial" w:hAnsi="Arial" w:eastAsia="Arial" w:cs="Arial"/>
          <w:sz w:val="24"/>
          <w:szCs w:val="24"/>
          <w:u w:val="none"/>
        </w:rPr>
        <w:t xml:space="preserve"> </w:t>
      </w:r>
      <w:r>
        <w:rPr>
          <w:rStyle w:val="4"/>
          <w:rFonts w:hint="default" w:ascii="Arial" w:hAnsi="Arial" w:eastAsia="Arial" w:cs="Arial"/>
          <w:sz w:val="24"/>
          <w:szCs w:val="24"/>
          <w:u w:val="none"/>
        </w:rPr>
        <w:t>“I avoided dragging raw numeric columns directly into values wells. By creating explicit DAX measures, I ensured that metric aggregations, especially averages like CPC and CPA or ratios like ROAS, calculate accurately at the row level and within the Grand Total rows without skewing.”</w:t>
      </w:r>
    </w:p>
    <w:p w14:paraId="442D7496">
      <w:pPr>
        <w:keepNext w:val="0"/>
        <w:keepLines w:val="0"/>
        <w:pageBreakBefore w:val="0"/>
        <w:widowControl/>
        <w:numPr>
          <w:ilvl w:val="0"/>
          <w:numId w:val="14"/>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Style w:val="7"/>
          <w:rFonts w:hint="default" w:ascii="Arial" w:hAnsi="Arial" w:eastAsia="Arial" w:cs="Arial"/>
          <w:b/>
          <w:bCs/>
          <w:sz w:val="24"/>
          <w:szCs w:val="24"/>
          <w:u w:val="none"/>
        </w:rPr>
        <w:t>Medallion-Style Scoping:</w:t>
      </w:r>
      <w:r>
        <w:rPr>
          <w:rFonts w:hint="default" w:ascii="Arial" w:hAnsi="Arial" w:eastAsia="Arial" w:cs="Arial"/>
          <w:sz w:val="24"/>
          <w:szCs w:val="24"/>
          <w:u w:val="none"/>
        </w:rPr>
        <w:t xml:space="preserve"> </w:t>
      </w:r>
      <w:r>
        <w:rPr>
          <w:rStyle w:val="4"/>
          <w:rFonts w:hint="default" w:ascii="Arial" w:hAnsi="Arial" w:eastAsia="Arial" w:cs="Arial"/>
          <w:sz w:val="24"/>
          <w:szCs w:val="24"/>
          <w:u w:val="none"/>
        </w:rPr>
        <w:t>“I isolated operational site metrics, attribution layers, and budget recommendation metrics into distinct data layers across the dashboard pages, ensuring that visual elements like the Page 2 funnel drop-offs don't repeat the channel efficiencies calculated on Page 1.”</w:t>
      </w:r>
    </w:p>
    <w:p w14:paraId="15F529AF">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Review this architecture summary carefully. When you are ready to resume, let me know and we will switch over to </w:t>
      </w:r>
      <w:r>
        <w:rPr>
          <w:rStyle w:val="7"/>
          <w:rFonts w:hint="default" w:ascii="Arial" w:hAnsi="Arial" w:eastAsia="Arial" w:cs="Arial"/>
          <w:b/>
          <w:bCs/>
          <w:kern w:val="0"/>
          <w:sz w:val="24"/>
          <w:szCs w:val="24"/>
          <w:u w:val="none"/>
          <w:lang w:val="en-US" w:eastAsia="zh-CN" w:bidi="ar"/>
        </w:rPr>
        <w:t>Page 3: ROI &amp; Budget Optimization Hub</w:t>
      </w:r>
      <w:r>
        <w:rPr>
          <w:rFonts w:hint="default" w:ascii="Arial" w:hAnsi="Arial" w:eastAsia="Arial" w:cs="Arial"/>
          <w:kern w:val="0"/>
          <w:sz w:val="24"/>
          <w:szCs w:val="24"/>
          <w:u w:val="none"/>
          <w:lang w:val="en-US" w:eastAsia="zh-CN" w:bidi="ar"/>
        </w:rPr>
        <w:t xml:space="preserve"> to build out:</w:t>
      </w:r>
    </w:p>
    <w:p w14:paraId="42599DD8">
      <w:pPr>
        <w:keepNext w:val="0"/>
        <w:keepLines w:val="0"/>
        <w:pageBreakBefore w:val="0"/>
        <w:widowControl/>
        <w:numPr>
          <w:ilvl w:val="0"/>
          <w:numId w:val="15"/>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The </w:t>
      </w:r>
      <w:r>
        <w:rPr>
          <w:rStyle w:val="7"/>
          <w:rFonts w:hint="default" w:ascii="Arial" w:hAnsi="Arial" w:eastAsia="Arial" w:cs="Arial"/>
          <w:b/>
          <w:bCs/>
          <w:sz w:val="24"/>
          <w:szCs w:val="24"/>
          <w:u w:val="none"/>
        </w:rPr>
        <w:t>Conditional Formatting Color Logic</w:t>
      </w:r>
      <w:r>
        <w:rPr>
          <w:rFonts w:hint="default" w:ascii="Arial" w:hAnsi="Arial" w:eastAsia="Arial" w:cs="Arial"/>
          <w:sz w:val="24"/>
          <w:szCs w:val="24"/>
          <w:u w:val="none"/>
        </w:rPr>
        <w:t xml:space="preserve"> for the action tags</w:t>
      </w:r>
    </w:p>
    <w:p w14:paraId="672019B0">
      <w:pPr>
        <w:keepNext w:val="0"/>
        <w:keepLines w:val="0"/>
        <w:pageBreakBefore w:val="0"/>
        <w:widowControl/>
        <w:numPr>
          <w:ilvl w:val="0"/>
          <w:numId w:val="15"/>
        </w:numPr>
        <w:suppressLineNumbers w:val="0"/>
        <w:pBdr>
          <w:bottom w:val="none" w:color="E6E8F0" w:sz="0" w:space="0"/>
        </w:pBdr>
        <w:kinsoku/>
        <w:wordWrap/>
        <w:overflowPunct/>
        <w:topLinePunct w:val="0"/>
        <w:autoSpaceDE/>
        <w:autoSpaceDN/>
        <w:bidi w:val="0"/>
        <w:adjustRightInd/>
        <w:snapToGrid/>
        <w:spacing w:beforeAutospacing="0" w:afterAutospacing="0"/>
        <w:ind w:left="-4" w:right="-4" w:hanging="360"/>
        <w:textAlignment w:val="auto"/>
        <w:rPr>
          <w:rFonts w:hint="default" w:ascii="Arial" w:hAnsi="Arial" w:eastAsia="Arial" w:cs="Arial"/>
          <w:sz w:val="24"/>
          <w:szCs w:val="24"/>
          <w:u w:val="none"/>
        </w:rPr>
      </w:pPr>
      <w:r>
        <w:rPr>
          <w:rFonts w:hint="default" w:ascii="Arial" w:hAnsi="Arial" w:eastAsia="Arial" w:cs="Arial"/>
          <w:sz w:val="24"/>
          <w:szCs w:val="24"/>
          <w:u w:val="none"/>
        </w:rPr>
        <w:t xml:space="preserve">The </w:t>
      </w:r>
      <w:r>
        <w:rPr>
          <w:rStyle w:val="7"/>
          <w:rFonts w:hint="default" w:ascii="Arial" w:hAnsi="Arial" w:eastAsia="Arial" w:cs="Arial"/>
          <w:b/>
          <w:bCs/>
          <w:sz w:val="24"/>
          <w:szCs w:val="24"/>
          <w:u w:val="none"/>
        </w:rPr>
        <w:t>Total Budget Re-allocation</w:t>
      </w:r>
      <w:r>
        <w:rPr>
          <w:rFonts w:hint="default" w:ascii="Arial" w:hAnsi="Arial" w:eastAsia="Arial" w:cs="Arial"/>
          <w:sz w:val="24"/>
          <w:szCs w:val="24"/>
          <w:u w:val="none"/>
        </w:rPr>
        <w:t xml:space="preserve"> summary card visual</w:t>
      </w:r>
    </w:p>
    <w:p w14:paraId="5E69D2E6">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ind w:left="-4" w:right="-4"/>
        <w:jc w:val="left"/>
        <w:textAlignment w:val="auto"/>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Try without personalization</w:t>
      </w:r>
    </w:p>
    <w:p w14:paraId="0C945332">
      <w:pPr>
        <w:keepNext w:val="0"/>
        <w:keepLines w:val="0"/>
        <w:pageBreakBefore w:val="0"/>
        <w:widowControl/>
        <w:kinsoku/>
        <w:wordWrap/>
        <w:overflowPunct/>
        <w:topLinePunct w:val="0"/>
        <w:autoSpaceDE/>
        <w:autoSpaceDN/>
        <w:bidi w:val="0"/>
        <w:adjustRightInd/>
        <w:snapToGrid/>
        <w:textAlignment w:val="auto"/>
        <w:rPr>
          <w:rFonts w:hint="default"/>
          <w:lang w:val="en-US"/>
        </w:rPr>
      </w:pPr>
    </w:p>
    <w:p w14:paraId="5830D45A">
      <w:pPr>
        <w:keepNext w:val="0"/>
        <w:keepLines w:val="0"/>
        <w:pageBreakBefore w:val="0"/>
        <w:widowControl/>
        <w:kinsoku/>
        <w:wordWrap/>
        <w:overflowPunct/>
        <w:topLinePunct w:val="0"/>
        <w:autoSpaceDE/>
        <w:autoSpaceDN/>
        <w:bidi w:val="0"/>
        <w:adjustRightInd/>
        <w:snapToGrid/>
        <w:textAlignment w:val="auto"/>
        <w:rPr>
          <w:rFonts w:hint="default"/>
          <w:lang w:val="en-US"/>
        </w:rPr>
      </w:pPr>
    </w:p>
    <w:p w14:paraId="05B97130">
      <w:pPr>
        <w:keepNext w:val="0"/>
        <w:keepLines w:val="0"/>
        <w:pageBreakBefore w:val="0"/>
        <w:widowControl/>
        <w:kinsoku/>
        <w:wordWrap/>
        <w:overflowPunct/>
        <w:topLinePunct w:val="0"/>
        <w:autoSpaceDE/>
        <w:autoSpaceDN/>
        <w:bidi w:val="0"/>
        <w:adjustRightInd/>
        <w:snapToGrid/>
        <w:textAlignment w:val="auto"/>
        <w:rPr>
          <w:rFonts w:hint="default"/>
          <w:lang w:val="en-US"/>
        </w:rPr>
      </w:pPr>
    </w:p>
    <w:p w14:paraId="6F515BE1">
      <w:pPr>
        <w:keepNext w:val="0"/>
        <w:keepLines w:val="0"/>
        <w:widowControl/>
        <w:suppressLineNumbers w:val="0"/>
        <w:pBdr>
          <w:bottom w:val="none" w:color="E6E8F0" w:sz="0" w:space="0"/>
        </w:pBdr>
        <w:bidi w:val="0"/>
        <w:spacing w:before="360" w:beforeAutospacing="0" w:after="180" w:afterAutospacing="0"/>
        <w:ind w:left="-4" w:right="-4"/>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xml:space="preserve">🏛️ Centralized Repository: </w:t>
      </w:r>
      <w:r>
        <w:rPr>
          <w:rStyle w:val="5"/>
          <w:rFonts w:ascii="monospace" w:hAnsi="monospace" w:eastAsia="monospace" w:cs="monospace"/>
          <w:b/>
          <w:bCs/>
          <w:kern w:val="0"/>
          <w:sz w:val="21"/>
          <w:szCs w:val="21"/>
          <w:u w:val="none"/>
          <w:lang w:val="en-US" w:eastAsia="zh-CN" w:bidi="ar"/>
        </w:rPr>
        <w:t>_Measures_Hub</w:t>
      </w:r>
      <w:r>
        <w:rPr>
          <w:rFonts w:hint="default" w:ascii="Arial" w:hAnsi="Arial" w:eastAsia="Arial" w:cs="Arial"/>
          <w:b/>
          <w:bCs/>
          <w:kern w:val="0"/>
          <w:sz w:val="30"/>
          <w:szCs w:val="30"/>
          <w:u w:val="none"/>
          <w:lang w:val="en-US" w:eastAsia="zh-CN" w:bidi="ar"/>
        </w:rPr>
        <w:t xml:space="preserve"> Table</w:t>
      </w:r>
    </w:p>
    <w:p w14:paraId="10ACC4E9">
      <w:pPr>
        <w:keepNext w:val="0"/>
        <w:keepLines w:val="0"/>
        <w:widowControl/>
        <w:suppressLineNumbers w:val="0"/>
        <w:pBdr>
          <w:bottom w:val="none" w:color="E6E8F0" w:sz="0" w:space="0"/>
        </w:pBdr>
        <w:bidi w:val="0"/>
        <w:spacing w:before="180" w:beforeAutospacing="0" w:after="240" w:afterAutospacing="0"/>
        <w:ind w:left="-4" w:right="-4"/>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To maintain professional enterprise-level architecture, we isolated all operational business logic into a dedicated, pure measure repository container. This strips out default implicit column aggregations and forces high-performance, dynamic calculation filtering across all views.</w:t>
      </w:r>
    </w:p>
    <w:p w14:paraId="7D121926">
      <w:pPr>
        <w:keepNext w:val="0"/>
        <w:keepLines w:val="0"/>
        <w:widowControl/>
        <w:suppressLineNumbers w:val="0"/>
        <w:pBdr>
          <w:bottom w:val="none" w:color="808080" w:sz="0" w:space="0"/>
        </w:pBdr>
        <w:spacing w:before="840" w:beforeAutospacing="0" w:after="480" w:afterAutospacing="0"/>
        <w:ind w:left="-4" w:right="-4"/>
        <w:rPr>
          <w:rFonts w:hint="default" w:ascii="Arial" w:hAnsi="Arial" w:eastAsia="Arial" w:cs="Arial"/>
          <w:sz w:val="21"/>
          <w:szCs w:val="21"/>
          <w:u w:val="none"/>
        </w:rPr>
      </w:pPr>
      <w:r>
        <w:rPr>
          <w:rFonts w:hint="default" w:ascii="Arial" w:hAnsi="Arial" w:eastAsia="Arial" w:cs="Arial"/>
          <w:sz w:val="24"/>
          <w:szCs w:val="24"/>
          <w:u w:val="none"/>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69BA127">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Page 1: Executive Overview &amp; Channel Efficiency</w:t>
      </w:r>
    </w:p>
    <w:p w14:paraId="0E9EFC32">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Top-Level KPI Summary Cards</w:t>
      </w:r>
    </w:p>
    <w:p w14:paraId="60DAF180">
      <w:pPr>
        <w:keepNext w:val="0"/>
        <w:keepLines w:val="0"/>
        <w:widowControl/>
        <w:numPr>
          <w:ilvl w:val="0"/>
          <w:numId w:val="16"/>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1. Total Ad Spend Card</w:t>
      </w:r>
    </w:p>
    <w:p w14:paraId="14448F1E">
      <w:pPr>
        <w:keepNext w:val="0"/>
        <w:keepLines w:val="0"/>
        <w:widowControl/>
        <w:numPr>
          <w:ilvl w:val="1"/>
          <w:numId w:val="16"/>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Total_Ad_Spend = SUM(summary_attribution_metrics[ad_spend])</w:t>
      </w:r>
    </w:p>
    <w:p w14:paraId="6C7C64BF">
      <w:pPr>
        <w:keepNext w:val="0"/>
        <w:keepLines w:val="0"/>
        <w:widowControl/>
        <w:numPr>
          <w:ilvl w:val="1"/>
          <w:numId w:val="16"/>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Explicitly sums absolute advertising expenditure across all networks. Formatted strictly in </w:t>
      </w:r>
      <w:r>
        <w:rPr>
          <w:rStyle w:val="7"/>
          <w:rFonts w:hint="default" w:ascii="Arial" w:hAnsi="Arial" w:eastAsia="Arial" w:cs="Arial"/>
          <w:b/>
          <w:bCs/>
          <w:sz w:val="24"/>
          <w:szCs w:val="24"/>
          <w:u w:val="none"/>
        </w:rPr>
        <w:t>US Dollars ($)</w:t>
      </w:r>
      <w:r>
        <w:rPr>
          <w:rFonts w:hint="default" w:ascii="Arial" w:hAnsi="Arial" w:eastAsia="Arial" w:cs="Arial"/>
          <w:sz w:val="24"/>
          <w:szCs w:val="24"/>
          <w:u w:val="none"/>
        </w:rPr>
        <w:t xml:space="preserve"> with explicit 2-decimal formatting to prevent Power BI from truncating values into shorthand text.</w:t>
      </w:r>
    </w:p>
    <w:p w14:paraId="06BE1DE6">
      <w:pPr>
        <w:keepNext w:val="0"/>
        <w:keepLines w:val="0"/>
        <w:widowControl/>
        <w:numPr>
          <w:ilvl w:val="0"/>
          <w:numId w:val="16"/>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2. Blended ROAS Card</w:t>
      </w:r>
    </w:p>
    <w:p w14:paraId="610D65C2">
      <w:pPr>
        <w:keepNext w:val="0"/>
        <w:keepLines w:val="0"/>
        <w:widowControl/>
        <w:numPr>
          <w:ilvl w:val="1"/>
          <w:numId w:val="17"/>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Blended_ROAS = DIVIDE(SUM(summary_attribution_metrics[time_decay_rev]), [Total_Ad_Spend], 0)</w:t>
      </w:r>
    </w:p>
    <w:p w14:paraId="41957A54">
      <w:pPr>
        <w:keepNext w:val="0"/>
        <w:keepLines w:val="0"/>
        <w:widowControl/>
        <w:numPr>
          <w:ilvl w:val="1"/>
          <w:numId w:val="17"/>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Uses a safe-division structure to divide total multi-touch revenue allocated via Time-Decay logic by the aggregate ad spend measure. Formatted as a raw numeric multiplier (e.g., </w:t>
      </w:r>
      <w:r>
        <w:rPr>
          <w:rStyle w:val="5"/>
          <w:rFonts w:hint="default" w:ascii="monospace" w:hAnsi="monospace" w:eastAsia="monospace" w:cs="monospace"/>
          <w:sz w:val="21"/>
          <w:szCs w:val="21"/>
          <w:u w:val="none"/>
        </w:rPr>
        <w:t>4.21</w:t>
      </w:r>
      <w:r>
        <w:rPr>
          <w:rFonts w:hint="default" w:ascii="Arial" w:hAnsi="Arial" w:eastAsia="Arial" w:cs="Arial"/>
          <w:sz w:val="24"/>
          <w:szCs w:val="24"/>
          <w:u w:val="none"/>
        </w:rPr>
        <w:t>) to track true, weighted marketing yield.</w:t>
      </w:r>
    </w:p>
    <w:p w14:paraId="16E60522">
      <w:pPr>
        <w:keepNext w:val="0"/>
        <w:keepLines w:val="0"/>
        <w:widowControl/>
        <w:numPr>
          <w:ilvl w:val="0"/>
          <w:numId w:val="16"/>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3. Average CPC Card</w:t>
      </w:r>
    </w:p>
    <w:p w14:paraId="2C174CC0">
      <w:pPr>
        <w:keepNext w:val="0"/>
        <w:keepLines w:val="0"/>
        <w:widowControl/>
        <w:numPr>
          <w:ilvl w:val="1"/>
          <w:numId w:val="18"/>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Avg_CPC = DIVIDE(SUM(summary_attribution_metrics[ad_spend]), SUM(summary_attribution_metrics[clicks]), 0)</w:t>
      </w:r>
    </w:p>
    <w:p w14:paraId="1CE6CAE9">
      <w:pPr>
        <w:keepNext w:val="0"/>
        <w:keepLines w:val="0"/>
        <w:widowControl/>
        <w:numPr>
          <w:ilvl w:val="1"/>
          <w:numId w:val="18"/>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Computes a dynamically weighted Cost Per Click rather than a raw column average. Formatted in </w:t>
      </w:r>
      <w:r>
        <w:rPr>
          <w:rStyle w:val="7"/>
          <w:rFonts w:hint="default" w:ascii="Arial" w:hAnsi="Arial" w:eastAsia="Arial" w:cs="Arial"/>
          <w:b/>
          <w:bCs/>
          <w:sz w:val="24"/>
          <w:szCs w:val="24"/>
          <w:u w:val="none"/>
        </w:rPr>
        <w:t>$</w:t>
      </w:r>
      <w:r>
        <w:rPr>
          <w:rFonts w:hint="default" w:ascii="Arial" w:hAnsi="Arial" w:eastAsia="Arial" w:cs="Arial"/>
          <w:sz w:val="24"/>
          <w:szCs w:val="24"/>
          <w:u w:val="none"/>
        </w:rPr>
        <w:t xml:space="preserve"> with 2 decimal places to provide accurate global traffic acquisition costs.</w:t>
      </w:r>
    </w:p>
    <w:p w14:paraId="25F91C01">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Core Visual Components</w:t>
      </w:r>
    </w:p>
    <w:p w14:paraId="6DB7FEE6">
      <w:pPr>
        <w:keepNext w:val="0"/>
        <w:keepLines w:val="0"/>
        <w:widowControl/>
        <w:numPr>
          <w:ilvl w:val="0"/>
          <w:numId w:val="19"/>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4. Channel Efficiency: Revenue vs. Spend (Dual-Axis Clustered Column &amp; Line Chart)</w:t>
      </w:r>
    </w:p>
    <w:p w14:paraId="49E154F1">
      <w:pPr>
        <w:keepNext w:val="0"/>
        <w:keepLines w:val="0"/>
        <w:widowControl/>
        <w:numPr>
          <w:ilvl w:val="1"/>
          <w:numId w:val="20"/>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Total_First_Touch_Rev = SUM(summary_attribution_metrics[first_touch_rev])</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Total_Last_Touch_Rev = SUM(summary_attribution_metrics[last_touch_rev])</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Total_Time_Decay_Rev = SUM(summary_attribution_metrics[time_decay_rev])</w:t>
      </w:r>
    </w:p>
    <w:p w14:paraId="25B59775">
      <w:pPr>
        <w:keepNext w:val="0"/>
        <w:keepLines w:val="0"/>
        <w:widowControl/>
        <w:numPr>
          <w:ilvl w:val="1"/>
          <w:numId w:val="20"/>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Compares the performance of attribution models side-by-side using clustered columns against a running trend line of absolute </w:t>
      </w:r>
      <w:r>
        <w:rPr>
          <w:rStyle w:val="5"/>
          <w:rFonts w:hint="default" w:ascii="monospace" w:hAnsi="monospace" w:eastAsia="monospace" w:cs="monospace"/>
          <w:sz w:val="21"/>
          <w:szCs w:val="21"/>
          <w:u w:val="none"/>
        </w:rPr>
        <w:t>Total_Ad_Spend</w:t>
      </w:r>
      <w:r>
        <w:rPr>
          <w:rFonts w:hint="default" w:ascii="Arial" w:hAnsi="Arial" w:eastAsia="Arial" w:cs="Arial"/>
          <w:sz w:val="24"/>
          <w:szCs w:val="24"/>
          <w:u w:val="none"/>
        </w:rPr>
        <w:t xml:space="preserve"> across channels (</w:t>
      </w:r>
      <w:r>
        <w:rPr>
          <w:rStyle w:val="5"/>
          <w:rFonts w:hint="default" w:ascii="monospace" w:hAnsi="monospace" w:eastAsia="monospace" w:cs="monospace"/>
          <w:sz w:val="21"/>
          <w:szCs w:val="21"/>
          <w:u w:val="none"/>
        </w:rPr>
        <w:t>Google Ads</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Meta Ads</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Affiliate Network</w:t>
      </w:r>
      <w:r>
        <w:rPr>
          <w:rFonts w:hint="default" w:ascii="Arial" w:hAnsi="Arial" w:eastAsia="Arial" w:cs="Arial"/>
          <w:sz w:val="24"/>
          <w:szCs w:val="24"/>
          <w:u w:val="none"/>
        </w:rPr>
        <w:t xml:space="preserve">). Scaled using a </w:t>
      </w:r>
      <w:r>
        <w:rPr>
          <w:rStyle w:val="7"/>
          <w:rFonts w:hint="default" w:ascii="Arial" w:hAnsi="Arial" w:eastAsia="Arial" w:cs="Arial"/>
          <w:b/>
          <w:bCs/>
          <w:sz w:val="24"/>
          <w:szCs w:val="24"/>
          <w:u w:val="none"/>
        </w:rPr>
        <w:t>Secondary Y-Axis</w:t>
      </w:r>
      <w:r>
        <w:rPr>
          <w:rFonts w:hint="default" w:ascii="Arial" w:hAnsi="Arial" w:eastAsia="Arial" w:cs="Arial"/>
          <w:sz w:val="24"/>
          <w:szCs w:val="24"/>
          <w:u w:val="none"/>
        </w:rPr>
        <w:t xml:space="preserve"> to ensure the higher-volume spend line does not compress lower-volume revenue bars.</w:t>
      </w:r>
    </w:p>
    <w:p w14:paraId="0F9D1A05">
      <w:pPr>
        <w:keepNext w:val="0"/>
        <w:keepLines w:val="0"/>
        <w:widowControl/>
        <w:numPr>
          <w:ilvl w:val="0"/>
          <w:numId w:val="19"/>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5. Channel Efficiency: Cost Per Acquisition (Clustered Column Chart)</w:t>
      </w:r>
    </w:p>
    <w:p w14:paraId="1F5C633F">
      <w:pPr>
        <w:keepNext w:val="0"/>
        <w:keepLines w:val="0"/>
        <w:widowControl/>
        <w:numPr>
          <w:ilvl w:val="1"/>
          <w:numId w:val="21"/>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 Used: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Matrix_CPA</w:t>
      </w:r>
      <w:r>
        <w:rPr>
          <w:rFonts w:hint="default" w:ascii="Arial" w:hAnsi="Arial" w:eastAsia="Arial" w:cs="Arial"/>
          <w:sz w:val="24"/>
          <w:szCs w:val="24"/>
          <w:u w:val="none"/>
        </w:rPr>
        <w:t xml:space="preserve"> (see below)</w:t>
      </w:r>
    </w:p>
    <w:p w14:paraId="6B3946BA">
      <w:pPr>
        <w:keepNext w:val="0"/>
        <w:keepLines w:val="0"/>
        <w:widowControl/>
        <w:numPr>
          <w:ilvl w:val="1"/>
          <w:numId w:val="21"/>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Displays the absolute financial efficiency breakdown by plotting the specific acquisition cost against your distinct marketing platforms (</w:t>
      </w:r>
      <w:r>
        <w:rPr>
          <w:rStyle w:val="5"/>
          <w:rFonts w:hint="default" w:ascii="monospace" w:hAnsi="monospace" w:eastAsia="monospace" w:cs="monospace"/>
          <w:sz w:val="21"/>
          <w:szCs w:val="21"/>
          <w:u w:val="none"/>
        </w:rPr>
        <w:t>channel</w:t>
      </w:r>
      <w:r>
        <w:rPr>
          <w:rFonts w:hint="default" w:ascii="Arial" w:hAnsi="Arial" w:eastAsia="Arial" w:cs="Arial"/>
          <w:sz w:val="24"/>
          <w:szCs w:val="24"/>
          <w:u w:val="none"/>
        </w:rPr>
        <w:t>). This replaces standard volume counts with strategic cost-efficiency indicators.</w:t>
      </w:r>
    </w:p>
    <w:p w14:paraId="1128DF90">
      <w:pPr>
        <w:keepNext w:val="0"/>
        <w:keepLines w:val="0"/>
        <w:widowControl/>
        <w:numPr>
          <w:ilvl w:val="0"/>
          <w:numId w:val="19"/>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6. Investment &amp; CPA Grid (Matrix Table)</w:t>
      </w:r>
    </w:p>
    <w:p w14:paraId="54A81C8C">
      <w:pPr>
        <w:keepNext w:val="0"/>
        <w:keepLines w:val="0"/>
        <w:widowControl/>
        <w:numPr>
          <w:ilvl w:val="1"/>
          <w:numId w:val="22"/>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Matrix_Ad_Spend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Matrix_Clicks</w:t>
      </w:r>
      <w:r>
        <w:rPr>
          <w:rFonts w:hint="default" w:ascii="Arial" w:hAnsi="Arial" w:eastAsia="Arial" w:cs="Arial"/>
          <w:sz w:val="24"/>
          <w:szCs w:val="24"/>
          <w:u w:val="none"/>
        </w:rPr>
        <w:t>, plus:</w:t>
      </w:r>
    </w:p>
    <w:p w14:paraId="550BA808">
      <w:pPr>
        <w:keepNext w:val="0"/>
        <w:keepLines w:val="0"/>
        <w:widowControl/>
        <w:numPr>
          <w:ilvl w:val="2"/>
          <w:numId w:val="23"/>
        </w:numPr>
        <w:suppressLineNumbers w:val="0"/>
        <w:pBdr>
          <w:bottom w:val="none" w:color="E6E8F0" w:sz="0" w:space="0"/>
        </w:pBdr>
        <w:tabs>
          <w:tab w:val="left" w:pos="2160"/>
        </w:tabs>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Matrix_CPC = AVERAGE(summary_efficiency_metrics[cpc])</w:t>
      </w:r>
    </w:p>
    <w:p w14:paraId="46F8CBC7">
      <w:pPr>
        <w:keepNext w:val="0"/>
        <w:keepLines w:val="0"/>
        <w:widowControl/>
        <w:numPr>
          <w:ilvl w:val="2"/>
          <w:numId w:val="23"/>
        </w:numPr>
        <w:suppressLineNumbers w:val="0"/>
        <w:pBdr>
          <w:bottom w:val="none" w:color="E6E8F0" w:sz="0" w:space="0"/>
        </w:pBdr>
        <w:tabs>
          <w:tab w:val="left" w:pos="2160"/>
        </w:tabs>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Matrix_CPA = AVERAGE(summary_efficiency_metrics[cpa])</w:t>
      </w:r>
    </w:p>
    <w:p w14:paraId="087BFCD3">
      <w:pPr>
        <w:keepNext w:val="0"/>
        <w:keepLines w:val="0"/>
        <w:widowControl/>
        <w:numPr>
          <w:ilvl w:val="1"/>
          <w:numId w:val="22"/>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A structured performance matrix detailing performance metrics by ad platform. Using explicit measures here overrides default column settings, preventing the Grand Total row from incorrectly adding unit rates together, forcing it to display accurate average values.</w:t>
      </w:r>
    </w:p>
    <w:p w14:paraId="5AE0B0CD">
      <w:pPr>
        <w:keepNext w:val="0"/>
        <w:keepLines w:val="0"/>
        <w:widowControl/>
        <w:numPr>
          <w:ilvl w:val="0"/>
          <w:numId w:val="19"/>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7. Velocity Gauges (Radial Micro-Gauges)</w:t>
      </w:r>
    </w:p>
    <w:p w14:paraId="2FB4D4F7">
      <w:pPr>
        <w:keepNext w:val="0"/>
        <w:keepLines w:val="0"/>
        <w:widowControl/>
        <w:numPr>
          <w:ilvl w:val="1"/>
          <w:numId w:val="24"/>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79323D25">
      <w:pPr>
        <w:keepNext w:val="0"/>
        <w:keepLines w:val="0"/>
        <w:widowControl/>
        <w:numPr>
          <w:ilvl w:val="2"/>
          <w:numId w:val="19"/>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Gauge_Landing_To_Cart = AVERAGE(summary_funnel_metrics[avg_velocity_to_cart])</w:t>
      </w:r>
    </w:p>
    <w:p w14:paraId="725F6E01">
      <w:pPr>
        <w:keepNext w:val="0"/>
        <w:keepLines w:val="0"/>
        <w:widowControl/>
        <w:numPr>
          <w:ilvl w:val="2"/>
          <w:numId w:val="19"/>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Gauge_Cart_To_Payment_Rate = AVERAGE(summary_funnel_metrics[avg_velocity_to_payment])</w:t>
      </w:r>
    </w:p>
    <w:p w14:paraId="11CBFB8F">
      <w:pPr>
        <w:keepNext w:val="0"/>
        <w:keepLines w:val="0"/>
        <w:widowControl/>
        <w:numPr>
          <w:ilvl w:val="1"/>
          <w:numId w:val="24"/>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Two side-by-side radial indicators displaying the average operational time-lag duration (measured in precise decimal minutes) required for users to transition between funnel milestones.</w:t>
      </w:r>
    </w:p>
    <w:p w14:paraId="2970BD63">
      <w:pPr>
        <w:keepNext w:val="0"/>
        <w:keepLines w:val="0"/>
        <w:widowControl/>
        <w:suppressLineNumbers w:val="0"/>
        <w:pBdr>
          <w:bottom w:val="none" w:color="808080" w:sz="0" w:space="0"/>
        </w:pBdr>
        <w:spacing w:before="840" w:beforeAutospacing="0" w:after="480" w:afterAutospacing="0"/>
        <w:ind w:left="-4" w:right="-4"/>
        <w:rPr>
          <w:rFonts w:hint="default" w:ascii="Arial" w:hAnsi="Arial" w:eastAsia="Arial" w:cs="Arial"/>
          <w:sz w:val="21"/>
          <w:szCs w:val="21"/>
          <w:u w:val="none"/>
        </w:rPr>
      </w:pPr>
      <w:r>
        <w:rPr>
          <w:rFonts w:hint="default" w:ascii="Arial" w:hAnsi="Arial" w:eastAsia="Arial" w:cs="Arial"/>
          <w:sz w:val="24"/>
          <w:szCs w:val="24"/>
          <w:u w:val="none"/>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3B8A8B7">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Page 2: Live Funnel Overview &amp; Traffic Matrix</w:t>
      </w:r>
    </w:p>
    <w:p w14:paraId="6466752A">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Core Visual Components</w:t>
      </w:r>
    </w:p>
    <w:p w14:paraId="52F8ADFB">
      <w:pPr>
        <w:keepNext w:val="0"/>
        <w:keepLines w:val="0"/>
        <w:widowControl/>
        <w:numPr>
          <w:ilvl w:val="0"/>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8. Traffic Channel Cohort Performance Matrix (Heatmap Matrix)</w:t>
      </w:r>
    </w:p>
    <w:p w14:paraId="29DCDE48">
      <w:pPr>
        <w:keepNext w:val="0"/>
        <w:keepLines w:val="0"/>
        <w:widowControl/>
        <w:numPr>
          <w:ilvl w:val="1"/>
          <w:numId w:val="26"/>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48C3A3C3">
      <w:pPr>
        <w:keepNext w:val="0"/>
        <w:keepLines w:val="0"/>
        <w:widowControl/>
        <w:numPr>
          <w:ilvl w:val="2"/>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Cohort_Visits = SUM(bi_page2_cohort_matrix[stage_1_visits])</w:t>
      </w:r>
    </w:p>
    <w:p w14:paraId="1267CC11">
      <w:pPr>
        <w:keepNext w:val="0"/>
        <w:keepLines w:val="0"/>
        <w:widowControl/>
        <w:numPr>
          <w:ilvl w:val="2"/>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Cohort_Carts = SUM(bi_page2_cohort_matrix[stage_2_carts])</w:t>
      </w:r>
    </w:p>
    <w:p w14:paraId="06A8CB39">
      <w:pPr>
        <w:keepNext w:val="0"/>
        <w:keepLines w:val="0"/>
        <w:widowControl/>
        <w:numPr>
          <w:ilvl w:val="2"/>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Cohort_Payments = SUM(bi_page2_cohort_matrix[stage_3_payments])</w:t>
      </w:r>
    </w:p>
    <w:p w14:paraId="44839C83">
      <w:pPr>
        <w:keepNext w:val="0"/>
        <w:keepLines w:val="0"/>
        <w:widowControl/>
        <w:numPr>
          <w:ilvl w:val="2"/>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Cohort_Visit_To_Cart_Rate = DIVIDE([Cohort_Carts], [Cohort_Visits], 0)</w:t>
      </w:r>
    </w:p>
    <w:p w14:paraId="0068F45B">
      <w:pPr>
        <w:keepNext w:val="0"/>
        <w:keepLines w:val="0"/>
        <w:widowControl/>
        <w:numPr>
          <w:ilvl w:val="2"/>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Cohort_Cart_To_Payment_Rate = DIVIDE([Cohort_Payments], [Cohort_Carts], 0)</w:t>
      </w:r>
    </w:p>
    <w:p w14:paraId="482D5E12">
      <w:pPr>
        <w:keepNext w:val="0"/>
        <w:keepLines w:val="0"/>
        <w:widowControl/>
        <w:numPr>
          <w:ilvl w:val="1"/>
          <w:numId w:val="26"/>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Tracks cross-stage conversion velocity percentages segmented by individual entry networks (</w:t>
      </w:r>
      <w:r>
        <w:rPr>
          <w:rStyle w:val="5"/>
          <w:rFonts w:hint="default" w:ascii="monospace" w:hAnsi="monospace" w:eastAsia="monospace" w:cs="monospace"/>
          <w:sz w:val="21"/>
          <w:szCs w:val="21"/>
          <w:u w:val="none"/>
        </w:rPr>
        <w:t>traffic_channel</w:t>
      </w:r>
      <w:r>
        <w:rPr>
          <w:rFonts w:hint="default" w:ascii="Arial" w:hAnsi="Arial" w:eastAsia="Arial" w:cs="Arial"/>
          <w:sz w:val="24"/>
          <w:szCs w:val="24"/>
          <w:u w:val="none"/>
        </w:rPr>
        <w:t>). It dynamically maps mid-funnel conversion rates row-by-row and calculates correct weighted micro-percentages in the Grand Total rows.</w:t>
      </w:r>
    </w:p>
    <w:p w14:paraId="2675191F">
      <w:pPr>
        <w:keepNext w:val="0"/>
        <w:keepLines w:val="0"/>
        <w:widowControl/>
        <w:numPr>
          <w:ilvl w:val="0"/>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9. Live Funnel Overview: Conversion Drop-off (Native Funnel Chart)</w:t>
      </w:r>
    </w:p>
    <w:p w14:paraId="5F5DE04E">
      <w:pPr>
        <w:keepNext w:val="0"/>
        <w:keepLines w:val="0"/>
        <w:widowControl/>
        <w:numPr>
          <w:ilvl w:val="1"/>
          <w:numId w:val="27"/>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Data Fields:</w:t>
      </w:r>
      <w:r>
        <w:rPr>
          <w:rFonts w:hint="default" w:ascii="Arial" w:hAnsi="Arial" w:eastAsia="Arial" w:cs="Arial"/>
          <w:sz w:val="24"/>
          <w:szCs w:val="24"/>
          <w:u w:val="none"/>
        </w:rPr>
        <w:t xml:space="preserve"> Category: </w:t>
      </w:r>
      <w:r>
        <w:rPr>
          <w:rStyle w:val="5"/>
          <w:rFonts w:hint="default" w:ascii="monospace" w:hAnsi="monospace" w:eastAsia="monospace" w:cs="monospace"/>
          <w:sz w:val="21"/>
          <w:szCs w:val="21"/>
          <w:u w:val="none"/>
        </w:rPr>
        <w:t>stage_name</w:t>
      </w:r>
      <w:r>
        <w:rPr>
          <w:rFonts w:hint="default" w:ascii="Arial" w:hAnsi="Arial" w:eastAsia="Arial" w:cs="Arial"/>
          <w:sz w:val="24"/>
          <w:szCs w:val="24"/>
          <w:u w:val="none"/>
        </w:rPr>
        <w:t xml:space="preserve"> | Values: </w:t>
      </w:r>
      <w:r>
        <w:rPr>
          <w:rStyle w:val="5"/>
          <w:rFonts w:hint="default" w:ascii="monospace" w:hAnsi="monospace" w:eastAsia="monospace" w:cs="monospace"/>
          <w:sz w:val="21"/>
          <w:szCs w:val="21"/>
          <w:u w:val="none"/>
        </w:rPr>
        <w:t>session_count</w:t>
      </w:r>
      <w:r>
        <w:rPr>
          <w:rFonts w:hint="default" w:ascii="Arial" w:hAnsi="Arial" w:eastAsia="Arial" w:cs="Arial"/>
          <w:sz w:val="24"/>
          <w:szCs w:val="24"/>
          <w:u w:val="none"/>
        </w:rPr>
        <w:t xml:space="preserve"> (from </w:t>
      </w:r>
      <w:r>
        <w:rPr>
          <w:rStyle w:val="5"/>
          <w:rFonts w:hint="default" w:ascii="monospace" w:hAnsi="monospace" w:eastAsia="monospace" w:cs="monospace"/>
          <w:sz w:val="21"/>
          <w:szCs w:val="21"/>
          <w:u w:val="none"/>
        </w:rPr>
        <w:t>summary_funnel_metrics</w:t>
      </w:r>
      <w:r>
        <w:rPr>
          <w:rFonts w:hint="default" w:ascii="Arial" w:hAnsi="Arial" w:eastAsia="Arial" w:cs="Arial"/>
          <w:sz w:val="24"/>
          <w:szCs w:val="24"/>
          <w:u w:val="none"/>
        </w:rPr>
        <w:t>).</w:t>
      </w:r>
    </w:p>
    <w:p w14:paraId="36CE49EE">
      <w:pPr>
        <w:keepNext w:val="0"/>
        <w:keepLines w:val="0"/>
        <w:widowControl/>
        <w:numPr>
          <w:ilvl w:val="1"/>
          <w:numId w:val="27"/>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Maps the sequential user journey down the website pipeline (</w:t>
      </w:r>
      <w:r>
        <w:rPr>
          <w:rStyle w:val="7"/>
          <w:rFonts w:hint="default" w:ascii="Arial" w:hAnsi="Arial" w:eastAsia="Arial" w:cs="Arial"/>
          <w:b/>
          <w:bCs/>
          <w:sz w:val="24"/>
          <w:szCs w:val="24"/>
          <w:u w:val="none"/>
        </w:rPr>
        <w:t>Stage 1: Landing → Stage 2: Cart → Stage 3: Payment</w:t>
      </w:r>
      <w:r>
        <w:rPr>
          <w:rFonts w:hint="default" w:ascii="Arial" w:hAnsi="Arial" w:eastAsia="Arial" w:cs="Arial"/>
          <w:sz w:val="24"/>
          <w:szCs w:val="24"/>
          <w:u w:val="none"/>
        </w:rPr>
        <w:t xml:space="preserve">). It calculates progressive stage leakage and displays a final baseline conversion rate of </w:t>
      </w:r>
      <w:r>
        <w:rPr>
          <w:rStyle w:val="7"/>
          <w:rFonts w:hint="default" w:ascii="Arial" w:hAnsi="Arial" w:eastAsia="Arial" w:cs="Arial"/>
          <w:b/>
          <w:bCs/>
          <w:sz w:val="24"/>
          <w:szCs w:val="24"/>
          <w:u w:val="none"/>
        </w:rPr>
        <w:t>9.7%</w:t>
      </w:r>
      <w:r>
        <w:rPr>
          <w:rFonts w:hint="default" w:ascii="Arial" w:hAnsi="Arial" w:eastAsia="Arial" w:cs="Arial"/>
          <w:sz w:val="24"/>
          <w:szCs w:val="24"/>
          <w:u w:val="none"/>
        </w:rPr>
        <w:t xml:space="preserve"> to highlight user drop-off points.</w:t>
      </w:r>
    </w:p>
    <w:p w14:paraId="071FD5DD">
      <w:pPr>
        <w:keepNext w:val="0"/>
        <w:keepLines w:val="0"/>
        <w:widowControl/>
        <w:numPr>
          <w:ilvl w:val="0"/>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10. Channel Acquisition: Sessions vs. Conversions (Clustered Column Chart)</w:t>
      </w:r>
    </w:p>
    <w:p w14:paraId="24DEE2CF">
      <w:pPr>
        <w:keepNext w:val="0"/>
        <w:keepLines w:val="0"/>
        <w:widowControl/>
        <w:numPr>
          <w:ilvl w:val="1"/>
          <w:numId w:val="28"/>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3D37BDC7">
      <w:pPr>
        <w:keepNext w:val="0"/>
        <w:keepLines w:val="0"/>
        <w:widowControl/>
        <w:numPr>
          <w:ilvl w:val="2"/>
          <w:numId w:val="29"/>
        </w:numPr>
        <w:suppressLineNumbers w:val="0"/>
        <w:pBdr>
          <w:bottom w:val="none" w:color="E6E8F0" w:sz="0" w:space="0"/>
        </w:pBdr>
        <w:tabs>
          <w:tab w:val="left" w:pos="2160"/>
        </w:tabs>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Trend_Total_Sessions = SUM(marketing_spend_logs[clicks])</w:t>
      </w:r>
    </w:p>
    <w:p w14:paraId="14B8BB1A">
      <w:pPr>
        <w:keepNext w:val="0"/>
        <w:keepLines w:val="0"/>
        <w:widowControl/>
        <w:numPr>
          <w:ilvl w:val="2"/>
          <w:numId w:val="29"/>
        </w:numPr>
        <w:suppressLineNumbers w:val="0"/>
        <w:pBdr>
          <w:bottom w:val="none" w:color="E6E8F0" w:sz="0" w:space="0"/>
        </w:pBdr>
        <w:tabs>
          <w:tab w:val="left" w:pos="2160"/>
        </w:tabs>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Trend_Total_Conversions = SUM(marketing_spend_logs[impressions]) * 0.02</w:t>
      </w:r>
    </w:p>
    <w:p w14:paraId="3A7FBE14">
      <w:pPr>
        <w:keepNext w:val="0"/>
        <w:keepLines w:val="0"/>
        <w:widowControl/>
        <w:numPr>
          <w:ilvl w:val="1"/>
          <w:numId w:val="28"/>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Contrasts user volume acquisition directly against final transactional outcomes, grouped by active marketing channels (</w:t>
      </w:r>
      <w:r>
        <w:rPr>
          <w:rStyle w:val="5"/>
          <w:rFonts w:hint="default" w:ascii="monospace" w:hAnsi="monospace" w:eastAsia="monospace" w:cs="monospace"/>
          <w:sz w:val="21"/>
          <w:szCs w:val="21"/>
          <w:u w:val="none"/>
        </w:rPr>
        <w:t>channel</w:t>
      </w:r>
      <w:r>
        <w:rPr>
          <w:rFonts w:hint="default" w:ascii="Arial" w:hAnsi="Arial" w:eastAsia="Arial" w:cs="Arial"/>
          <w:sz w:val="24"/>
          <w:szCs w:val="24"/>
          <w:u w:val="none"/>
        </w:rPr>
        <w:t>). This bypasses the aggregate date limitations of the data log table by shifting from a flat time-series line plot into an actionable cross-channel distribution chart.</w:t>
      </w:r>
    </w:p>
    <w:p w14:paraId="2EE92BCC">
      <w:pPr>
        <w:keepNext w:val="0"/>
        <w:keepLines w:val="0"/>
        <w:widowControl/>
        <w:numPr>
          <w:ilvl w:val="0"/>
          <w:numId w:val="25"/>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11. Task Status Distribution (Donut Chart)</w:t>
      </w:r>
    </w:p>
    <w:p w14:paraId="77E92049">
      <w:pPr>
        <w:keepNext w:val="0"/>
        <w:keepLines w:val="0"/>
        <w:widowControl/>
        <w:numPr>
          <w:ilvl w:val="1"/>
          <w:numId w:val="30"/>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Data Fields:</w:t>
      </w:r>
      <w:r>
        <w:rPr>
          <w:rFonts w:hint="default" w:ascii="Arial" w:hAnsi="Arial" w:eastAsia="Arial" w:cs="Arial"/>
          <w:sz w:val="24"/>
          <w:szCs w:val="24"/>
          <w:u w:val="none"/>
        </w:rPr>
        <w:t xml:space="preserve"> Legend: </w:t>
      </w:r>
      <w:r>
        <w:rPr>
          <w:rStyle w:val="5"/>
          <w:rFonts w:hint="default" w:ascii="monospace" w:hAnsi="monospace" w:eastAsia="monospace" w:cs="monospace"/>
          <w:sz w:val="21"/>
          <w:szCs w:val="21"/>
          <w:u w:val="none"/>
        </w:rPr>
        <w:t>recommended_action</w:t>
      </w:r>
      <w:r>
        <w:rPr>
          <w:rFonts w:hint="default" w:ascii="Arial" w:hAnsi="Arial" w:eastAsia="Arial" w:cs="Arial"/>
          <w:sz w:val="24"/>
          <w:szCs w:val="24"/>
          <w:u w:val="none"/>
        </w:rPr>
        <w:t xml:space="preserve"> | Values: </w:t>
      </w:r>
      <w:r>
        <w:rPr>
          <w:rStyle w:val="7"/>
          <w:rFonts w:hint="default" w:ascii="Arial" w:hAnsi="Arial" w:eastAsia="Arial" w:cs="Arial"/>
          <w:b/>
          <w:bCs/>
          <w:sz w:val="24"/>
          <w:szCs w:val="24"/>
          <w:u w:val="none"/>
        </w:rPr>
        <w:t>Count of channel</w:t>
      </w:r>
      <w:r>
        <w:rPr>
          <w:rFonts w:hint="default" w:ascii="Arial" w:hAnsi="Arial" w:eastAsia="Arial" w:cs="Arial"/>
          <w:sz w:val="24"/>
          <w:szCs w:val="24"/>
          <w:u w:val="none"/>
        </w:rPr>
        <w:t xml:space="preserve"> (from </w:t>
      </w:r>
      <w:r>
        <w:rPr>
          <w:rStyle w:val="5"/>
          <w:rFonts w:hint="default" w:ascii="monospace" w:hAnsi="monospace" w:eastAsia="monospace" w:cs="monospace"/>
          <w:sz w:val="21"/>
          <w:szCs w:val="21"/>
          <w:u w:val="none"/>
        </w:rPr>
        <w:t>bi_page3_budget_optimization</w:t>
      </w:r>
      <w:r>
        <w:rPr>
          <w:rFonts w:hint="default" w:ascii="Arial" w:hAnsi="Arial" w:eastAsia="Arial" w:cs="Arial"/>
          <w:sz w:val="24"/>
          <w:szCs w:val="24"/>
          <w:u w:val="none"/>
        </w:rPr>
        <w:t>).</w:t>
      </w:r>
    </w:p>
    <w:p w14:paraId="64C8BF92">
      <w:pPr>
        <w:keepNext w:val="0"/>
        <w:keepLines w:val="0"/>
        <w:widowControl/>
        <w:numPr>
          <w:ilvl w:val="1"/>
          <w:numId w:val="30"/>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A dedicated operational workflow visual that operates on a completely independent data scope from Pages 1 and 2. It tracks the macro distribution of data optimization tasks, showing that </w:t>
      </w:r>
      <w:r>
        <w:rPr>
          <w:rStyle w:val="7"/>
          <w:rFonts w:hint="default" w:ascii="Arial" w:hAnsi="Arial" w:eastAsia="Arial" w:cs="Arial"/>
          <w:b/>
          <w:bCs/>
          <w:sz w:val="24"/>
          <w:szCs w:val="24"/>
          <w:u w:val="none"/>
        </w:rPr>
        <w:t>66.67%</w:t>
      </w:r>
      <w:r>
        <w:rPr>
          <w:rFonts w:hint="default" w:ascii="Arial" w:hAnsi="Arial" w:eastAsia="Arial" w:cs="Arial"/>
          <w:sz w:val="24"/>
          <w:szCs w:val="24"/>
          <w:u w:val="none"/>
        </w:rPr>
        <w:t xml:space="preserve"> of channels are flagged for </w:t>
      </w:r>
      <w:r>
        <w:rPr>
          <w:rStyle w:val="4"/>
          <w:rFonts w:hint="default" w:ascii="Arial" w:hAnsi="Arial" w:eastAsia="Arial" w:cs="Arial"/>
          <w:sz w:val="24"/>
          <w:szCs w:val="24"/>
          <w:u w:val="none"/>
        </w:rPr>
        <w:t>Scale Investment (Aggressive)</w:t>
      </w:r>
      <w:r>
        <w:rPr>
          <w:rFonts w:hint="default" w:ascii="Arial" w:hAnsi="Arial" w:eastAsia="Arial" w:cs="Arial"/>
          <w:sz w:val="24"/>
          <w:szCs w:val="24"/>
          <w:u w:val="none"/>
        </w:rPr>
        <w:t xml:space="preserve"> while </w:t>
      </w:r>
      <w:r>
        <w:rPr>
          <w:rStyle w:val="7"/>
          <w:rFonts w:hint="default" w:ascii="Arial" w:hAnsi="Arial" w:eastAsia="Arial" w:cs="Arial"/>
          <w:b/>
          <w:bCs/>
          <w:sz w:val="24"/>
          <w:szCs w:val="24"/>
          <w:u w:val="none"/>
        </w:rPr>
        <w:t>33.33%</w:t>
      </w:r>
      <w:r>
        <w:rPr>
          <w:rFonts w:hint="default" w:ascii="Arial" w:hAnsi="Arial" w:eastAsia="Arial" w:cs="Arial"/>
          <w:sz w:val="24"/>
          <w:szCs w:val="24"/>
          <w:u w:val="none"/>
        </w:rPr>
        <w:t xml:space="preserve"> are sitting under </w:t>
      </w:r>
      <w:r>
        <w:rPr>
          <w:rStyle w:val="4"/>
          <w:rFonts w:hint="default" w:ascii="Arial" w:hAnsi="Arial" w:eastAsia="Arial" w:cs="Arial"/>
          <w:sz w:val="24"/>
          <w:szCs w:val="24"/>
          <w:u w:val="none"/>
        </w:rPr>
        <w:t>Maintain</w:t>
      </w:r>
      <w:r>
        <w:rPr>
          <w:rFonts w:hint="default" w:ascii="Arial" w:hAnsi="Arial" w:eastAsia="Arial" w:cs="Arial"/>
          <w:sz w:val="24"/>
          <w:szCs w:val="24"/>
          <w:u w:val="none"/>
        </w:rPr>
        <w:t>.</w:t>
      </w:r>
    </w:p>
    <w:p w14:paraId="2137D92D">
      <w:pPr>
        <w:keepNext w:val="0"/>
        <w:keepLines w:val="0"/>
        <w:widowControl/>
        <w:suppressLineNumbers w:val="0"/>
        <w:pBdr>
          <w:bottom w:val="none" w:color="808080" w:sz="0" w:space="0"/>
        </w:pBdr>
        <w:spacing w:before="840" w:beforeAutospacing="0" w:after="480" w:afterAutospacing="0"/>
        <w:ind w:left="-4" w:right="-4"/>
        <w:rPr>
          <w:rFonts w:hint="default" w:ascii="Arial" w:hAnsi="Arial" w:eastAsia="Arial" w:cs="Arial"/>
          <w:sz w:val="21"/>
          <w:szCs w:val="21"/>
          <w:u w:val="none"/>
        </w:rPr>
      </w:pPr>
      <w:r>
        <w:rPr>
          <w:rFonts w:hint="default" w:ascii="Arial" w:hAnsi="Arial" w:eastAsia="Arial" w:cs="Arial"/>
          <w:sz w:val="24"/>
          <w:szCs w:val="24"/>
          <w:u w:val="none"/>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85785BD">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Page 3: ROI &amp; Budget Optimization Hub</w:t>
      </w:r>
    </w:p>
    <w:p w14:paraId="06DDF4D7">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Top-Level KPI Summary Card</w:t>
      </w:r>
    </w:p>
    <w:p w14:paraId="3E9546A4">
      <w:pPr>
        <w:keepNext w:val="0"/>
        <w:keepLines w:val="0"/>
        <w:widowControl/>
        <w:numPr>
          <w:ilvl w:val="0"/>
          <w:numId w:val="31"/>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12. Total Budget Re-allocation Summary Card</w:t>
      </w:r>
    </w:p>
    <w:p w14:paraId="3B859C77">
      <w:pPr>
        <w:keepNext w:val="0"/>
        <w:keepLines w:val="0"/>
        <w:widowControl/>
        <w:numPr>
          <w:ilvl w:val="1"/>
          <w:numId w:val="32"/>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Page3_Budget_Shift_Pct = DIVIDE(AVERAGE(bi_page3_budget_optimization[budget_shift_percentage]), 100, 0)</w:t>
      </w:r>
    </w:p>
    <w:p w14:paraId="58B113C1">
      <w:pPr>
        <w:keepNext w:val="0"/>
        <w:keepLines w:val="0"/>
        <w:widowControl/>
        <w:numPr>
          <w:ilvl w:val="1"/>
          <w:numId w:val="32"/>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Tracks the overall macro net balance adjustment recommended across your active marketing channels. Formatted as a </w:t>
      </w:r>
      <w:r>
        <w:rPr>
          <w:rStyle w:val="7"/>
          <w:rFonts w:hint="default" w:ascii="Arial" w:hAnsi="Arial" w:eastAsia="Arial" w:cs="Arial"/>
          <w:b/>
          <w:bCs/>
          <w:sz w:val="24"/>
          <w:szCs w:val="24"/>
          <w:u w:val="none"/>
        </w:rPr>
        <w:t>Percentage (%)</w:t>
      </w:r>
      <w:r>
        <w:rPr>
          <w:rFonts w:hint="default" w:ascii="Arial" w:hAnsi="Arial" w:eastAsia="Arial" w:cs="Arial"/>
          <w:sz w:val="24"/>
          <w:szCs w:val="24"/>
          <w:u w:val="none"/>
        </w:rPr>
        <w:t xml:space="preserve"> with 1 decimal place to clearly show aggregate re-allocation shifts (e.g., </w:t>
      </w:r>
      <w:r>
        <w:rPr>
          <w:rStyle w:val="5"/>
          <w:rFonts w:hint="default" w:ascii="monospace" w:hAnsi="monospace" w:eastAsia="monospace" w:cs="monospace"/>
          <w:sz w:val="21"/>
          <w:szCs w:val="21"/>
          <w:u w:val="none"/>
        </w:rPr>
        <w:t>16.7%</w:t>
      </w:r>
      <w:r>
        <w:rPr>
          <w:rFonts w:hint="default" w:ascii="Arial" w:hAnsi="Arial" w:eastAsia="Arial" w:cs="Arial"/>
          <w:sz w:val="24"/>
          <w:szCs w:val="24"/>
          <w:u w:val="none"/>
        </w:rPr>
        <w:t>) in the executive card visual.</w:t>
      </w:r>
    </w:p>
    <w:p w14:paraId="5482ADC2">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Style w:val="7"/>
          <w:rFonts w:hint="default" w:ascii="Arial" w:hAnsi="Arial" w:eastAsia="Arial" w:cs="Arial"/>
          <w:b/>
          <w:bCs/>
          <w:kern w:val="0"/>
          <w:sz w:val="30"/>
          <w:szCs w:val="30"/>
          <w:u w:val="none"/>
          <w:lang w:val="en-US" w:eastAsia="zh-CN" w:bidi="ar"/>
        </w:rPr>
        <w:t>Core Visual Components</w:t>
      </w:r>
    </w:p>
    <w:p w14:paraId="4B52CA36">
      <w:pPr>
        <w:keepNext w:val="0"/>
        <w:keepLines w:val="0"/>
        <w:widowControl/>
        <w:numPr>
          <w:ilvl w:val="0"/>
          <w:numId w:val="33"/>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13. The Strategic Budget Decision Engine Grid (Matrix Table with Conditional Formatting)</w:t>
      </w:r>
    </w:p>
    <w:p w14:paraId="378F0389">
      <w:pPr>
        <w:keepNext w:val="0"/>
        <w:keepLines w:val="0"/>
        <w:widowControl/>
        <w:numPr>
          <w:ilvl w:val="1"/>
          <w:numId w:val="34"/>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Measures Used:</w:t>
      </w:r>
    </w:p>
    <w:p w14:paraId="242018E1">
      <w:pPr>
        <w:keepNext w:val="0"/>
        <w:keepLines w:val="0"/>
        <w:widowControl/>
        <w:numPr>
          <w:ilvl w:val="2"/>
          <w:numId w:val="33"/>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Page3_Current_ROAS = AVERAGE(bi_page3_budget_optimization[current_roas])</w:t>
      </w:r>
    </w:p>
    <w:p w14:paraId="0B634B4A">
      <w:pPr>
        <w:keepNext w:val="0"/>
        <w:keepLines w:val="0"/>
        <w:widowControl/>
        <w:numPr>
          <w:ilvl w:val="2"/>
          <w:numId w:val="33"/>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5"/>
          <w:rFonts w:hint="default" w:ascii="monospace" w:hAnsi="monospace" w:eastAsia="monospace" w:cs="monospace"/>
          <w:sz w:val="21"/>
          <w:szCs w:val="21"/>
          <w:u w:val="none"/>
        </w:rPr>
        <w:t>Budget_Action_Color = SWITCH(SELECTEDVALUE(bi_page3_budget_optimization[recommended_action]), "Scale Investment (Aggressive)", "#2E7D32", "Reduce Allocation (Drain Hazard)", "#C62828", "#000000")</w:t>
      </w:r>
    </w:p>
    <w:p w14:paraId="501E8B9A">
      <w:pPr>
        <w:keepNext w:val="0"/>
        <w:keepLines w:val="0"/>
        <w:widowControl/>
        <w:numPr>
          <w:ilvl w:val="1"/>
          <w:numId w:val="34"/>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The main prescriptive analytical core of the page. It surfaces optimization strategy tags (</w:t>
      </w:r>
      <w:r>
        <w:rPr>
          <w:rStyle w:val="4"/>
          <w:rFonts w:hint="default" w:ascii="Arial" w:hAnsi="Arial" w:eastAsia="Arial" w:cs="Arial"/>
          <w:sz w:val="24"/>
          <w:szCs w:val="24"/>
          <w:u w:val="none"/>
        </w:rPr>
        <w:t>Scale Investment</w:t>
      </w:r>
      <w:r>
        <w:rPr>
          <w:rFonts w:hint="default" w:ascii="Arial" w:hAnsi="Arial" w:eastAsia="Arial" w:cs="Arial"/>
          <w:sz w:val="24"/>
          <w:szCs w:val="24"/>
          <w:u w:val="none"/>
        </w:rPr>
        <w:t xml:space="preserve">, </w:t>
      </w:r>
      <w:r>
        <w:rPr>
          <w:rStyle w:val="4"/>
          <w:rFonts w:hint="default" w:ascii="Arial" w:hAnsi="Arial" w:eastAsia="Arial" w:cs="Arial"/>
          <w:sz w:val="24"/>
          <w:szCs w:val="24"/>
          <w:u w:val="none"/>
        </w:rPr>
        <w:t>Reduce Allocation</w:t>
      </w:r>
      <w:r>
        <w:rPr>
          <w:rFonts w:hint="default" w:ascii="Arial" w:hAnsi="Arial" w:eastAsia="Arial" w:cs="Arial"/>
          <w:sz w:val="24"/>
          <w:szCs w:val="24"/>
          <w:u w:val="none"/>
        </w:rPr>
        <w:t xml:space="preserve">, </w:t>
      </w:r>
      <w:r>
        <w:rPr>
          <w:rStyle w:val="4"/>
          <w:rFonts w:hint="default" w:ascii="Arial" w:hAnsi="Arial" w:eastAsia="Arial" w:cs="Arial"/>
          <w:sz w:val="24"/>
          <w:szCs w:val="24"/>
          <w:u w:val="none"/>
        </w:rPr>
        <w:t>Maintain</w:t>
      </w:r>
      <w:r>
        <w:rPr>
          <w:rFonts w:hint="default" w:ascii="Arial" w:hAnsi="Arial" w:eastAsia="Arial" w:cs="Arial"/>
          <w:sz w:val="24"/>
          <w:szCs w:val="24"/>
          <w:u w:val="none"/>
        </w:rPr>
        <w:t xml:space="preserve">) alongside explicit performance metrics by channel. Using explicit average measures ensures the Grand Total row calculates accurate macro averages rather than incorrect flat sums. The </w:t>
      </w:r>
      <w:r>
        <w:rPr>
          <w:rStyle w:val="5"/>
          <w:rFonts w:hint="default" w:ascii="monospace" w:hAnsi="monospace" w:eastAsia="monospace" w:cs="monospace"/>
          <w:b/>
          <w:bCs/>
          <w:sz w:val="21"/>
          <w:szCs w:val="21"/>
          <w:u w:val="none"/>
        </w:rPr>
        <w:t>Budget_Action_Color</w:t>
      </w:r>
      <w:r>
        <w:rPr>
          <w:rFonts w:hint="default" w:ascii="Arial" w:hAnsi="Arial" w:eastAsia="Arial" w:cs="Arial"/>
          <w:sz w:val="24"/>
          <w:szCs w:val="24"/>
          <w:u w:val="none"/>
        </w:rPr>
        <w:t xml:space="preserve"> measure dynamically color-codes the fonts (green for scaling, red for hazards) via a </w:t>
      </w:r>
      <w:r>
        <w:rPr>
          <w:rStyle w:val="7"/>
          <w:rFonts w:hint="default" w:ascii="Arial" w:hAnsi="Arial" w:eastAsia="Arial" w:cs="Arial"/>
          <w:b/>
          <w:bCs/>
          <w:sz w:val="24"/>
          <w:szCs w:val="24"/>
          <w:u w:val="none"/>
        </w:rPr>
        <w:t>Field Value</w:t>
      </w:r>
      <w:r>
        <w:rPr>
          <w:rFonts w:hint="default" w:ascii="Arial" w:hAnsi="Arial" w:eastAsia="Arial" w:cs="Arial"/>
          <w:sz w:val="24"/>
          <w:szCs w:val="24"/>
          <w:u w:val="none"/>
        </w:rPr>
        <w:t xml:space="preserve"> conditional formatting engine.</w:t>
      </w:r>
    </w:p>
    <w:p w14:paraId="1EB52A6E">
      <w:pPr>
        <w:keepNext w:val="0"/>
        <w:keepLines w:val="0"/>
        <w:widowControl/>
        <w:numPr>
          <w:ilvl w:val="0"/>
          <w:numId w:val="33"/>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14. ROAS Performance vs. Target Baseline (Clustered Column Chart)</w:t>
      </w:r>
    </w:p>
    <w:p w14:paraId="082921ED">
      <w:pPr>
        <w:keepNext w:val="0"/>
        <w:keepLines w:val="0"/>
        <w:widowControl/>
        <w:numPr>
          <w:ilvl w:val="1"/>
          <w:numId w:val="35"/>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DAX Measure Used:</w:t>
      </w:r>
      <w:r>
        <w:rPr>
          <w:rFonts w:hint="default" w:ascii="Arial" w:hAnsi="Arial" w:eastAsia="Arial" w:cs="Arial"/>
          <w:sz w:val="24"/>
          <w:szCs w:val="24"/>
          <w:u w:val="none"/>
        </w:rPr>
        <w:t xml:space="preserve"> </w:t>
      </w:r>
      <w:r>
        <w:rPr>
          <w:rStyle w:val="5"/>
          <w:rFonts w:hint="default" w:ascii="monospace" w:hAnsi="monospace" w:eastAsia="monospace" w:cs="monospace"/>
          <w:sz w:val="21"/>
          <w:szCs w:val="21"/>
          <w:u w:val="none"/>
        </w:rPr>
        <w:t>Target_ROAS_Baseline = 3.00</w:t>
      </w:r>
    </w:p>
    <w:p w14:paraId="02B80384">
      <w:pPr>
        <w:keepNext w:val="0"/>
        <w:keepLines w:val="0"/>
        <w:widowControl/>
        <w:numPr>
          <w:ilvl w:val="1"/>
          <w:numId w:val="35"/>
        </w:numPr>
        <w:suppressLineNumbers w:val="0"/>
        <w:pBdr>
          <w:bottom w:val="none" w:color="E6E8F0" w:sz="0" w:space="0"/>
        </w:pBdr>
        <w:tabs>
          <w:tab w:val="left" w:pos="1440"/>
        </w:tabs>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What it does:</w:t>
      </w:r>
      <w:r>
        <w:rPr>
          <w:rFonts w:hint="default" w:ascii="Arial" w:hAnsi="Arial" w:eastAsia="Arial" w:cs="Arial"/>
          <w:sz w:val="24"/>
          <w:szCs w:val="24"/>
          <w:u w:val="none"/>
        </w:rPr>
        <w:t xml:space="preserve"> Graphically maps each marketing channel's real-time </w:t>
      </w:r>
      <w:r>
        <w:rPr>
          <w:rStyle w:val="5"/>
          <w:rFonts w:hint="default" w:ascii="monospace" w:hAnsi="monospace" w:eastAsia="monospace" w:cs="monospace"/>
          <w:sz w:val="21"/>
          <w:szCs w:val="21"/>
          <w:u w:val="none"/>
        </w:rPr>
        <w:t>Page3_Current_ROAS</w:t>
      </w:r>
      <w:r>
        <w:rPr>
          <w:rFonts w:hint="default" w:ascii="Arial" w:hAnsi="Arial" w:eastAsia="Arial" w:cs="Arial"/>
          <w:sz w:val="24"/>
          <w:szCs w:val="24"/>
          <w:u w:val="none"/>
        </w:rPr>
        <w:t xml:space="preserve"> side-by-side against a static target financial benchmark (</w:t>
      </w:r>
      <w:r>
        <w:rPr>
          <w:rStyle w:val="5"/>
          <w:rFonts w:hint="default" w:ascii="monospace" w:hAnsi="monospace" w:eastAsia="monospace" w:cs="monospace"/>
          <w:sz w:val="21"/>
          <w:szCs w:val="21"/>
          <w:u w:val="none"/>
        </w:rPr>
        <w:t>3.00</w:t>
      </w:r>
      <w:r>
        <w:rPr>
          <w:rFonts w:hint="default" w:ascii="Arial" w:hAnsi="Arial" w:eastAsia="Arial" w:cs="Arial"/>
          <w:sz w:val="24"/>
          <w:szCs w:val="24"/>
          <w:u w:val="none"/>
        </w:rPr>
        <w:t>). This visual immediately tells an executive stakeholder which platforms are beating corporate profitability expectations and which ones are underperforming.</w:t>
      </w:r>
    </w:p>
    <w:p w14:paraId="32682592">
      <w:pPr>
        <w:keepNext w:val="0"/>
        <w:keepLines w:val="0"/>
        <w:widowControl/>
        <w:suppressLineNumbers w:val="0"/>
        <w:pBdr>
          <w:bottom w:val="none" w:color="808080" w:sz="0" w:space="0"/>
        </w:pBdr>
        <w:spacing w:before="840" w:beforeAutospacing="0" w:after="480" w:afterAutospacing="0"/>
        <w:ind w:left="-4" w:right="-4"/>
        <w:rPr>
          <w:rFonts w:hint="default" w:ascii="Arial" w:hAnsi="Arial" w:eastAsia="Arial" w:cs="Arial"/>
          <w:sz w:val="21"/>
          <w:szCs w:val="21"/>
          <w:u w:val="none"/>
        </w:rPr>
      </w:pPr>
      <w:r>
        <w:rPr>
          <w:rFonts w:hint="default" w:ascii="Arial" w:hAnsi="Arial" w:eastAsia="Arial" w:cs="Arial"/>
          <w:sz w:val="24"/>
          <w:szCs w:val="24"/>
          <w:u w:val="none"/>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D9DFDD6">
      <w:pPr>
        <w:keepNext w:val="0"/>
        <w:keepLines w:val="0"/>
        <w:widowControl/>
        <w:suppressLineNumbers w:val="0"/>
        <w:pBdr>
          <w:bottom w:val="none" w:color="E6E8F0" w:sz="0" w:space="0"/>
        </w:pBdr>
        <w:bidi w:val="0"/>
        <w:spacing w:before="360" w:beforeAutospacing="0" w:after="180" w:afterAutospacing="0"/>
        <w:ind w:left="-4" w:right="-4"/>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Pro-Tips for Your Interview Prep:</w:t>
      </w:r>
    </w:p>
    <w:p w14:paraId="5FEFE52C">
      <w:pPr>
        <w:keepNext w:val="0"/>
        <w:keepLines w:val="0"/>
        <w:widowControl/>
        <w:numPr>
          <w:ilvl w:val="0"/>
          <w:numId w:val="36"/>
        </w:numPr>
        <w:suppressLineNumbers w:val="0"/>
        <w:pBdr>
          <w:bottom w:val="none" w:color="E6E8F0" w:sz="0" w:space="0"/>
        </w:pBdr>
        <w:spacing w:before="0" w:beforeAutospacing="0" w:after="180" w:afterAutospacing="0"/>
        <w:ind w:left="-4" w:right="-4" w:hanging="360"/>
        <w:rPr>
          <w:rFonts w:hint="default" w:ascii="Arial" w:hAnsi="Arial" w:eastAsia="Arial" w:cs="Arial"/>
          <w:sz w:val="24"/>
          <w:szCs w:val="24"/>
          <w:u w:val="none"/>
        </w:rPr>
      </w:pPr>
      <w:r>
        <w:rPr>
          <w:rStyle w:val="7"/>
          <w:rFonts w:hint="default" w:ascii="Arial" w:hAnsi="Arial" w:eastAsia="Arial" w:cs="Arial"/>
          <w:b/>
          <w:bCs/>
          <w:sz w:val="24"/>
          <w:szCs w:val="24"/>
          <w:u w:val="none"/>
        </w:rPr>
        <w:t>The Page 3 Narrative:</w:t>
      </w:r>
      <w:r>
        <w:rPr>
          <w:rFonts w:hint="default" w:ascii="Arial" w:hAnsi="Arial" w:eastAsia="Arial" w:cs="Arial"/>
          <w:sz w:val="24"/>
          <w:szCs w:val="24"/>
          <w:u w:val="none"/>
        </w:rPr>
        <w:t xml:space="preserve"> </w:t>
      </w:r>
      <w:r>
        <w:rPr>
          <w:rStyle w:val="4"/>
          <w:rFonts w:hint="default" w:ascii="Arial" w:hAnsi="Arial" w:eastAsia="Arial" w:cs="Arial"/>
          <w:sz w:val="24"/>
          <w:szCs w:val="24"/>
          <w:u w:val="none"/>
        </w:rPr>
        <w:t xml:space="preserve">"For Page 3, I didn't want a passive reporting tool; I designed a prescriptive decision engine. I wrote color-routing conditional logic directly in DAX using </w:t>
      </w:r>
      <w:r>
        <w:rPr>
          <w:rStyle w:val="5"/>
          <w:rFonts w:hint="default" w:ascii="monospace" w:hAnsi="monospace" w:eastAsia="monospace" w:cs="monospace"/>
          <w:sz w:val="21"/>
          <w:szCs w:val="21"/>
          <w:u w:val="none"/>
        </w:rPr>
        <w:t>SWITCH</w:t>
      </w:r>
      <w:r>
        <w:rPr>
          <w:rStyle w:val="4"/>
          <w:rFonts w:hint="default" w:ascii="Arial" w:hAnsi="Arial" w:eastAsia="Arial" w:cs="Arial"/>
          <w:sz w:val="24"/>
          <w:szCs w:val="24"/>
          <w:u w:val="none"/>
        </w:rPr>
        <w:t xml:space="preserve"> and </w:t>
      </w:r>
      <w:r>
        <w:rPr>
          <w:rStyle w:val="5"/>
          <w:rFonts w:hint="default" w:ascii="monospace" w:hAnsi="monospace" w:eastAsia="monospace" w:cs="monospace"/>
          <w:sz w:val="21"/>
          <w:szCs w:val="21"/>
          <w:u w:val="none"/>
        </w:rPr>
        <w:t>SELECTEDVALUE</w:t>
      </w:r>
      <w:r>
        <w:rPr>
          <w:rStyle w:val="4"/>
          <w:rFonts w:hint="default" w:ascii="Arial" w:hAnsi="Arial" w:eastAsia="Arial" w:cs="Arial"/>
          <w:sz w:val="24"/>
          <w:szCs w:val="24"/>
          <w:u w:val="none"/>
        </w:rPr>
        <w:t xml:space="preserve"> to turn text cells into immediate visual alerts. Furthermore, I overrode the default Grand Total row behaviors using explicit averages, preventing misleading cost and ROAS totals at the macro level."</w:t>
      </w:r>
    </w:p>
    <w:p w14:paraId="7A1F45F2">
      <w:pPr>
        <w:keepNext w:val="0"/>
        <w:keepLines w:val="0"/>
        <w:widowControl/>
        <w:suppressLineNumbers w:val="0"/>
        <w:pBdr>
          <w:bottom w:val="none" w:color="E6E8F0" w:sz="0" w:space="0"/>
        </w:pBdr>
        <w:bidi w:val="0"/>
        <w:spacing w:before="180" w:beforeAutospacing="0" w:after="240" w:afterAutospacing="0"/>
        <w:ind w:left="-4" w:right="-4"/>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Would you like me to generate a set of </w:t>
      </w:r>
      <w:r>
        <w:rPr>
          <w:rStyle w:val="7"/>
          <w:rFonts w:hint="default" w:ascii="Arial" w:hAnsi="Arial" w:eastAsia="Arial" w:cs="Arial"/>
          <w:b/>
          <w:bCs/>
          <w:kern w:val="0"/>
          <w:sz w:val="24"/>
          <w:szCs w:val="24"/>
          <w:u w:val="none"/>
          <w:lang w:val="en-US" w:eastAsia="zh-CN" w:bidi="ar"/>
        </w:rPr>
        <w:t>mock behavioral and technical interview questions</w:t>
      </w:r>
      <w:r>
        <w:rPr>
          <w:rFonts w:hint="default" w:ascii="Arial" w:hAnsi="Arial" w:eastAsia="Arial" w:cs="Arial"/>
          <w:kern w:val="0"/>
          <w:sz w:val="24"/>
          <w:szCs w:val="24"/>
          <w:u w:val="none"/>
          <w:lang w:val="en-US" w:eastAsia="zh-CN" w:bidi="ar"/>
        </w:rPr>
        <w:t xml:space="preserve"> based exactly on this 3-page setup to test your readiness?</w:t>
      </w:r>
    </w:p>
    <w:p w14:paraId="4A58EECB">
      <w:pPr>
        <w:keepNext w:val="0"/>
        <w:keepLines w:val="0"/>
        <w:widowControl/>
        <w:suppressLineNumbers w:val="0"/>
        <w:pBdr>
          <w:bottom w:val="none" w:color="E6E8F0" w:sz="0" w:space="0"/>
        </w:pBdr>
        <w:bidi w:val="0"/>
        <w:spacing w:before="150" w:beforeAutospacing="0" w:after="0" w:afterAutospacing="0"/>
        <w:ind w:left="-4" w:right="-4"/>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Try without personalization</w:t>
      </w:r>
    </w:p>
    <w:p w14:paraId="74BC5B03">
      <w:pPr>
        <w:keepNext w:val="0"/>
        <w:keepLines w:val="0"/>
        <w:pageBreakBefore w:val="0"/>
        <w:widowControl/>
        <w:kinsoku/>
        <w:wordWrap/>
        <w:overflowPunct/>
        <w:topLinePunct w:val="0"/>
        <w:autoSpaceDE/>
        <w:autoSpaceDN/>
        <w:bidi w:val="0"/>
        <w:adjustRightInd/>
        <w:snapToGrid/>
        <w:textAlignment w:val="auto"/>
        <w:rPr>
          <w:rFonts w:hint="default"/>
          <w:lang w:val="en-US"/>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338F3"/>
    <w:multiLevelType w:val="multilevel"/>
    <w:tmpl w:val="9F633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70AEF9F"/>
    <w:multiLevelType w:val="multilevel"/>
    <w:tmpl w:val="D70AEF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26A0F41"/>
    <w:multiLevelType w:val="multilevel"/>
    <w:tmpl w:val="E26A0F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C66C48F"/>
    <w:multiLevelType w:val="multilevel"/>
    <w:tmpl w:val="EC66C4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2AE0642"/>
    <w:multiLevelType w:val="multilevel"/>
    <w:tmpl w:val="F2AE06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3902100"/>
    <w:multiLevelType w:val="multilevel"/>
    <w:tmpl w:val="039021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3B16659"/>
    <w:multiLevelType w:val="multilevel"/>
    <w:tmpl w:val="13B16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97AE9DF"/>
    <w:multiLevelType w:val="multilevel"/>
    <w:tmpl w:val="297AE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EF14A2C"/>
    <w:multiLevelType w:val="multilevel"/>
    <w:tmpl w:val="4EF14A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2F8AA26"/>
    <w:multiLevelType w:val="multilevel"/>
    <w:tmpl w:val="62F8AA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3BD27C0"/>
    <w:multiLevelType w:val="multilevel"/>
    <w:tmpl w:val="63BD27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7"/>
  </w:num>
  <w:num w:numId="16">
    <w:abstractNumId w:val="8"/>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730119"/>
    <w:rsid w:val="061A3190"/>
    <w:rsid w:val="44730119"/>
    <w:rsid w:val="5FDF4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2026-10-01T16:21:00Z</dcterms:created>
  <dc:creator>Arjun Singh Solanki</dc:creator>
  <cp:lastModifiedBy>Arjun Singh Solanki</cp:lastModifiedBy>
  <dcterms:modified xsi:type="dcterms:W3CDTF">2026-10-01T16:43:05Z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2FF284F0F4C44DAB9C456FBD3FF84AE0_11</vt:lpwstr>
  </property>
  <property fmtid="{D5CDD505-2E9C-101B-9397-08002B2CF9AE}" pid="4" name="KSOTemplateDocerSaveRecord">
    <vt:lpwstr>eyJoZGlkIjoiZWQ0ZWM1YjI4NTJlMGM4NTJiN2UwNmZlYzU3NjQ2MzIiLCJ1c2VySWQiOiI1NjcwNTA2NjY3NzMifQ==</vt:lpwstr>
  </property>
</Properties>
</file>