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748B"/>
          <w:sz w:val="18"/>
        </w:rPr>
        <w:t>ULTRA MRF GROUP · AUTOMAN CAR CARE CENTER</w:t>
      </w:r>
    </w:p>
    <w:p>
      <w:r>
        <w:br/>
        <w:br/>
      </w:r>
    </w:p>
    <w:p>
      <w:pPr>
        <w:jc w:val="left"/>
      </w:pPr>
      <w:r>
        <w:rPr>
          <w:b/>
          <w:color w:val="0284C7"/>
          <w:sz w:val="26"/>
        </w:rPr>
        <w:t>ENTERPRISE SOFTWARE ARCHITECTURE &amp; IMPLEMENTATION</w:t>
        <w:br/>
      </w:r>
      <w:r>
        <w:rPr>
          <w:b/>
          <w:color w:val="0F172A"/>
          <w:sz w:val="52"/>
        </w:rPr>
        <w:t>BUSINESS BLUEPRINT DOCUMENT</w:t>
        <w:br/>
      </w:r>
      <w:r>
        <w:rPr>
          <w:b/>
          <w:color w:val="1E293B"/>
          <w:sz w:val="40"/>
        </w:rPr>
        <w:t>ULTRA MRF: AUTOMAN</w:t>
        <w:br/>
      </w:r>
      <w:r>
        <w:rPr>
          <w:i/>
          <w:color w:val="64748B"/>
          <w:sz w:val="24"/>
        </w:rPr>
        <w:t>Enterprise ERPNext v16 Implementation with Vehicle Management System (VMS) &amp; Consolidated Multi-Company Suite</w:t>
      </w:r>
    </w:p>
    <w:p>
      <w:r>
        <w:br/>
        <w:br/>
        <w:br/>
      </w:r>
    </w:p>
    <w:tbl>
      <w:tblPr>
        <w:tblW w:type="auto" w:w="0"/>
        <w:jc w:val="center"/>
        <w:tblLook w:firstColumn="1" w:firstRow="1" w:lastColumn="0" w:lastRow="0" w:noHBand="0" w:noVBand="1" w:val="04A0"/>
      </w:tblPr>
      <w:tblGrid>
        <w:gridCol w:w="4968"/>
        <w:gridCol w:w="4968"/>
      </w:tblGrid>
      <w:tr>
        <w:tc>
          <w:tcPr>
            <w:tcW w:type="dxa" w:w="3168"/>
            <w:shd w:fill="f1f5f9"/>
            <w:tcMar>
              <w:top w:w="80" w:type="dxa"/>
              <w:bottom w:w="80" w:type="dxa"/>
              <w:left w:w="120" w:type="dxa"/>
              <w:right w:w="120" w:type="dxa"/>
            </w:tcMar>
          </w:tcPr>
          <w:p>
            <w:r>
              <w:rPr>
                <w:b/>
                <w:sz w:val="19"/>
              </w:rPr>
              <w:t>Prepared For:</w:t>
            </w:r>
          </w:p>
        </w:tc>
        <w:tc>
          <w:tcPr>
            <w:tcW w:type="dxa" w:w="6192"/>
            <w:shd w:fill="ffffff"/>
            <w:tcMar>
              <w:top w:w="80" w:type="dxa"/>
              <w:bottom w:w="80" w:type="dxa"/>
              <w:left w:w="120" w:type="dxa"/>
              <w:right w:w="120" w:type="dxa"/>
            </w:tcMar>
          </w:tcPr>
          <w:p>
            <w:r>
              <w:rPr>
                <w:sz w:val="19"/>
              </w:rPr>
              <w:t>ULTRA MRF / Automan Car Care Center Management</w:t>
            </w:r>
          </w:p>
        </w:tc>
      </w:tr>
      <w:tr>
        <w:tc>
          <w:tcPr>
            <w:tcW w:type="dxa" w:w="3168"/>
            <w:shd w:fill="f1f5f9"/>
            <w:tcMar>
              <w:top w:w="80" w:type="dxa"/>
              <w:bottom w:w="80" w:type="dxa"/>
              <w:left w:w="120" w:type="dxa"/>
              <w:right w:w="120" w:type="dxa"/>
            </w:tcMar>
          </w:tcPr>
          <w:p>
            <w:r>
              <w:rPr>
                <w:b/>
                <w:sz w:val="19"/>
              </w:rPr>
              <w:t>Prepared By:</w:t>
            </w:r>
          </w:p>
        </w:tc>
        <w:tc>
          <w:tcPr>
            <w:tcW w:type="dxa" w:w="6192"/>
            <w:shd w:fill="ffffff"/>
            <w:tcMar>
              <w:top w:w="80" w:type="dxa"/>
              <w:bottom w:w="80" w:type="dxa"/>
              <w:left w:w="120" w:type="dxa"/>
              <w:right w:w="120" w:type="dxa"/>
            </w:tcMar>
          </w:tcPr>
          <w:p>
            <w:r>
              <w:rPr>
                <w:sz w:val="19"/>
              </w:rPr>
              <w:t>Jose Mangiliman Jr. — Lead ERP Solutions Architect &amp; Consultant</w:t>
            </w:r>
          </w:p>
        </w:tc>
      </w:tr>
      <w:tr>
        <w:tc>
          <w:tcPr>
            <w:tcW w:type="dxa" w:w="3168"/>
            <w:shd w:fill="f1f5f9"/>
            <w:tcMar>
              <w:top w:w="80" w:type="dxa"/>
              <w:bottom w:w="80" w:type="dxa"/>
              <w:left w:w="120" w:type="dxa"/>
              <w:right w:w="120" w:type="dxa"/>
            </w:tcMar>
          </w:tcPr>
          <w:p>
            <w:r>
              <w:rPr>
                <w:b/>
                <w:sz w:val="19"/>
              </w:rPr>
              <w:t>Implementation Scope:</w:t>
            </w:r>
          </w:p>
        </w:tc>
        <w:tc>
          <w:tcPr>
            <w:tcW w:type="dxa" w:w="6192"/>
            <w:shd w:fill="ffffff"/>
            <w:tcMar>
              <w:top w:w="80" w:type="dxa"/>
              <w:bottom w:w="80" w:type="dxa"/>
              <w:left w:w="120" w:type="dxa"/>
              <w:right w:w="120" w:type="dxa"/>
            </w:tcMar>
          </w:tcPr>
          <w:p>
            <w:r>
              <w:rPr>
                <w:sz w:val="19"/>
              </w:rPr>
              <w:t>Day 45 (Standard Delivery) + 10 Days (Change Request Buffer) = 55 Days Total</w:t>
            </w:r>
          </w:p>
        </w:tc>
      </w:tr>
      <w:tr>
        <w:tc>
          <w:tcPr>
            <w:tcW w:type="dxa" w:w="3168"/>
            <w:shd w:fill="f1f5f9"/>
            <w:tcMar>
              <w:top w:w="80" w:type="dxa"/>
              <w:bottom w:w="80" w:type="dxa"/>
              <w:left w:w="120" w:type="dxa"/>
              <w:right w:w="120" w:type="dxa"/>
            </w:tcMar>
          </w:tcPr>
          <w:p>
            <w:r>
              <w:rPr>
                <w:b/>
                <w:sz w:val="19"/>
              </w:rPr>
              <w:t>Date of Document:</w:t>
            </w:r>
          </w:p>
        </w:tc>
        <w:tc>
          <w:tcPr>
            <w:tcW w:type="dxa" w:w="6192"/>
            <w:shd w:fill="ffffff"/>
            <w:tcMar>
              <w:top w:w="80" w:type="dxa"/>
              <w:bottom w:w="80" w:type="dxa"/>
              <w:left w:w="120" w:type="dxa"/>
              <w:right w:w="120" w:type="dxa"/>
            </w:tcMar>
          </w:tcPr>
          <w:p>
            <w:r>
              <w:rPr>
                <w:sz w:val="19"/>
              </w:rPr>
              <w:t>11th September 2026</w:t>
            </w:r>
          </w:p>
        </w:tc>
      </w:tr>
      <w:tr>
        <w:tc>
          <w:tcPr>
            <w:tcW w:type="dxa" w:w="3168"/>
            <w:shd w:fill="f1f5f9"/>
            <w:tcMar>
              <w:top w:w="80" w:type="dxa"/>
              <w:bottom w:w="80" w:type="dxa"/>
              <w:left w:w="120" w:type="dxa"/>
              <w:right w:w="120" w:type="dxa"/>
            </w:tcMar>
          </w:tcPr>
          <w:p>
            <w:r>
              <w:rPr>
                <w:b/>
                <w:sz w:val="19"/>
              </w:rPr>
              <w:t>Release Version:</w:t>
            </w:r>
          </w:p>
        </w:tc>
        <w:tc>
          <w:tcPr>
            <w:tcW w:type="dxa" w:w="6192"/>
            <w:shd w:fill="ffffff"/>
            <w:tcMar>
              <w:top w:w="80" w:type="dxa"/>
              <w:bottom w:w="80" w:type="dxa"/>
              <w:left w:w="120" w:type="dxa"/>
              <w:right w:w="120" w:type="dxa"/>
            </w:tcMar>
          </w:tcPr>
          <w:p>
            <w:r>
              <w:rPr>
                <w:sz w:val="19"/>
              </w:rPr>
              <w:t>Release v1.0 (Production Blueprint Baseline)</w:t>
            </w:r>
          </w:p>
        </w:tc>
      </w:tr>
    </w:tbl>
    <w:p>
      <w:r>
        <w:br/>
        <w:br/>
      </w:r>
    </w:p>
    <w:p>
      <w:pPr>
        <w:jc w:val="center"/>
      </w:pPr>
      <w:r>
        <w:rPr>
          <w:color w:val="94A3B8"/>
          <w:sz w:val="17"/>
        </w:rPr>
        <w:t>CONFIDENTIAL &amp; PROPRIETARY</w:t>
        <w:br/>
        <w:t>The materials presented in this document contain trade secrets and architectural specifications of ULTRA MRF, Automan Car Care Center, and Jose Mangiliman Jr. No part of this document may be reproduced without prior written authorization.</w:t>
      </w:r>
    </w:p>
    <w:p>
      <w:r>
        <w:br w:type="page"/>
      </w:r>
    </w:p>
    <w:p>
      <w:pPr>
        <w:pStyle w:val="Heading1"/>
        <w:spacing w:before="240"/>
      </w:pPr>
      <w:r>
        <w:t>1. CHANGE HISTORY &amp; DOCUMENT CONTROL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0f172a"/>
            <w:tcMar>
              <w:top w:w="140" w:type="dxa"/>
              <w:bottom w:w="140" w:type="dxa"/>
              <w:left w:w="160" w:type="dxa"/>
              <w:right w:w="160" w:type="dxa"/>
            </w:tcMar>
          </w:tcPr>
          <w:p>
            <w:pPr>
              <w:jc w:val="left"/>
            </w:pPr>
            <w:r>
              <w:rPr>
                <w:rFonts w:ascii="Arial" w:hAnsi="Arial"/>
                <w:b/>
                <w:color w:val="FFFFFF"/>
                <w:sz w:val="19"/>
              </w:rPr>
              <w:t>Version</w:t>
            </w:r>
          </w:p>
        </w:tc>
        <w:tc>
          <w:tcPr>
            <w:tcW w:type="dxa" w:w="1728"/>
            <w:shd w:fill="0f172a"/>
            <w:tcMar>
              <w:top w:w="140" w:type="dxa"/>
              <w:bottom w:w="140" w:type="dxa"/>
              <w:left w:w="160" w:type="dxa"/>
              <w:right w:w="160" w:type="dxa"/>
            </w:tcMar>
          </w:tcPr>
          <w:p>
            <w:pPr>
              <w:jc w:val="left"/>
            </w:pPr>
            <w:r>
              <w:rPr>
                <w:rFonts w:ascii="Arial" w:hAnsi="Arial"/>
                <w:b/>
                <w:color w:val="FFFFFF"/>
                <w:sz w:val="19"/>
              </w:rPr>
              <w:t>Date</w:t>
            </w:r>
          </w:p>
        </w:tc>
        <w:tc>
          <w:tcPr>
            <w:tcW w:type="dxa" w:w="2592"/>
            <w:shd w:fill="0f172a"/>
            <w:tcMar>
              <w:top w:w="140" w:type="dxa"/>
              <w:bottom w:w="140" w:type="dxa"/>
              <w:left w:w="160" w:type="dxa"/>
              <w:right w:w="160" w:type="dxa"/>
            </w:tcMar>
          </w:tcPr>
          <w:p>
            <w:pPr>
              <w:jc w:val="left"/>
            </w:pPr>
            <w:r>
              <w:rPr>
                <w:rFonts w:ascii="Arial" w:hAnsi="Arial"/>
                <w:b/>
                <w:color w:val="FFFFFF"/>
                <w:sz w:val="19"/>
              </w:rPr>
              <w:t>Author</w:t>
            </w:r>
          </w:p>
        </w:tc>
        <w:tc>
          <w:tcPr>
            <w:tcW w:type="dxa" w:w="3600"/>
            <w:shd w:fill="0f172a"/>
            <w:tcMar>
              <w:top w:w="140" w:type="dxa"/>
              <w:bottom w:w="140" w:type="dxa"/>
              <w:left w:w="160" w:type="dxa"/>
              <w:right w:w="160" w:type="dxa"/>
            </w:tcMar>
          </w:tcPr>
          <w:p>
            <w:pPr>
              <w:jc w:val="left"/>
            </w:pPr>
            <w:r>
              <w:rPr>
                <w:rFonts w:ascii="Arial" w:hAnsi="Arial"/>
                <w:b/>
                <w:color w:val="FFFFFF"/>
                <w:sz w:val="19"/>
              </w:rPr>
              <w:t>Description of Change</w:t>
            </w:r>
          </w:p>
        </w:tc>
      </w:tr>
      <w:tr>
        <w:tc>
          <w:tcPr>
            <w:tcW w:type="dxa" w:w="1440"/>
            <w:shd w:fill="ffffff"/>
            <w:tcMar>
              <w:top w:w="100" w:type="dxa"/>
              <w:bottom w:w="100" w:type="dxa"/>
              <w:left w:w="140" w:type="dxa"/>
              <w:right w:w="140" w:type="dxa"/>
            </w:tcMar>
          </w:tcPr>
          <w:p>
            <w:r>
              <w:rPr>
                <w:rFonts w:ascii="Arial" w:hAnsi="Arial"/>
                <w:color w:val="1E293B"/>
                <w:sz w:val="18"/>
              </w:rPr>
              <w:t>v1.0</w:t>
            </w:r>
          </w:p>
        </w:tc>
        <w:tc>
          <w:tcPr>
            <w:tcW w:type="dxa" w:w="1728"/>
            <w:shd w:fill="ffffff"/>
            <w:tcMar>
              <w:top w:w="100" w:type="dxa"/>
              <w:bottom w:w="100" w:type="dxa"/>
              <w:left w:w="140" w:type="dxa"/>
              <w:right w:w="140" w:type="dxa"/>
            </w:tcMar>
          </w:tcPr>
          <w:p>
            <w:r>
              <w:rPr>
                <w:rFonts w:ascii="Arial" w:hAnsi="Arial"/>
                <w:color w:val="1E293B"/>
                <w:sz w:val="18"/>
              </w:rPr>
              <w:t>11 Sep 2026</w:t>
            </w:r>
          </w:p>
        </w:tc>
        <w:tc>
          <w:tcPr>
            <w:tcW w:type="dxa" w:w="2592"/>
            <w:shd w:fill="ffffff"/>
            <w:tcMar>
              <w:top w:w="100" w:type="dxa"/>
              <w:bottom w:w="100" w:type="dxa"/>
              <w:left w:w="140" w:type="dxa"/>
              <w:right w:w="140" w:type="dxa"/>
            </w:tcMar>
          </w:tcPr>
          <w:p>
            <w:r>
              <w:rPr>
                <w:rFonts w:ascii="Arial" w:hAnsi="Arial"/>
                <w:color w:val="1E293B"/>
                <w:sz w:val="18"/>
              </w:rPr>
              <w:t>Jose Mangiliman Jr.</w:t>
            </w:r>
          </w:p>
        </w:tc>
        <w:tc>
          <w:tcPr>
            <w:tcW w:type="dxa" w:w="3600"/>
            <w:shd w:fill="ffffff"/>
            <w:tcMar>
              <w:top w:w="100" w:type="dxa"/>
              <w:bottom w:w="100" w:type="dxa"/>
              <w:left w:w="140" w:type="dxa"/>
              <w:right w:w="140" w:type="dxa"/>
            </w:tcMar>
          </w:tcPr>
          <w:p>
            <w:r>
              <w:rPr>
                <w:rFonts w:ascii="Arial" w:hAnsi="Arial"/>
                <w:color w:val="1E293B"/>
                <w:sz w:val="18"/>
              </w:rPr>
              <w:t>Initial comprehensive Business Blueprint for ULTRA MRF: Automan ERPNext v16 + VMS rollout.</w:t>
            </w:r>
          </w:p>
        </w:tc>
      </w:tr>
      <w:tr>
        <w:tc>
          <w:tcPr>
            <w:tcW w:type="dxa" w:w="1440"/>
            <w:shd w:fill="f8fafc"/>
            <w:tcMar>
              <w:top w:w="100" w:type="dxa"/>
              <w:bottom w:w="100" w:type="dxa"/>
              <w:left w:w="140" w:type="dxa"/>
              <w:right w:w="140" w:type="dxa"/>
            </w:tcMar>
          </w:tcPr>
          <w:p>
            <w:r>
              <w:rPr>
                <w:rFonts w:ascii="Arial" w:hAnsi="Arial"/>
                <w:color w:val="1E293B"/>
                <w:sz w:val="18"/>
              </w:rPr>
              <w:t>v1.1</w:t>
            </w:r>
          </w:p>
        </w:tc>
        <w:tc>
          <w:tcPr>
            <w:tcW w:type="dxa" w:w="1728"/>
            <w:shd w:fill="f8fafc"/>
            <w:tcMar>
              <w:top w:w="100" w:type="dxa"/>
              <w:bottom w:w="100" w:type="dxa"/>
              <w:left w:w="140" w:type="dxa"/>
              <w:right w:w="140" w:type="dxa"/>
            </w:tcMar>
          </w:tcPr>
          <w:p>
            <w:r>
              <w:rPr>
                <w:rFonts w:ascii="Arial" w:hAnsi="Arial"/>
                <w:color w:val="1E293B"/>
                <w:sz w:val="18"/>
              </w:rPr>
              <w:t>11 Sep 2026</w:t>
            </w:r>
          </w:p>
        </w:tc>
        <w:tc>
          <w:tcPr>
            <w:tcW w:type="dxa" w:w="2592"/>
            <w:shd w:fill="f8fafc"/>
            <w:tcMar>
              <w:top w:w="100" w:type="dxa"/>
              <w:bottom w:w="100" w:type="dxa"/>
              <w:left w:w="140" w:type="dxa"/>
              <w:right w:w="140" w:type="dxa"/>
            </w:tcMar>
          </w:tcPr>
          <w:p>
            <w:r>
              <w:rPr>
                <w:rFonts w:ascii="Arial" w:hAnsi="Arial"/>
                <w:color w:val="1E293B"/>
                <w:sz w:val="18"/>
              </w:rPr>
              <w:t>Jose Mangiliman Jr.</w:t>
            </w:r>
          </w:p>
        </w:tc>
        <w:tc>
          <w:tcPr>
            <w:tcW w:type="dxa" w:w="3600"/>
            <w:shd w:fill="f8fafc"/>
            <w:tcMar>
              <w:top w:w="100" w:type="dxa"/>
              <w:bottom w:w="100" w:type="dxa"/>
              <w:left w:w="140" w:type="dxa"/>
              <w:right w:w="140" w:type="dxa"/>
            </w:tcMar>
          </w:tcPr>
          <w:p>
            <w:r>
              <w:rPr>
                <w:rFonts w:ascii="Arial" w:hAnsi="Arial"/>
                <w:color w:val="1E293B"/>
                <w:sz w:val="18"/>
              </w:rPr>
              <w:t>Incorporated Hierarchical Exploded Cash Flow (Year-Month-Day), 30/60/90 Day AR/AP Aging, and Multi-Company Consolidation.</w:t>
            </w:r>
          </w:p>
        </w:tc>
      </w:tr>
    </w:tbl>
    <w:p/>
    <w:p>
      <w:pPr>
        <w:pStyle w:val="Heading1"/>
      </w:pPr>
      <w:r>
        <w:t>2. PROJECT INTRODUCTION &amp; EXECUTIVE SUMMARY</w:t>
      </w:r>
    </w:p>
    <w:p>
      <w:r>
        <w:t>This document serves as the formal Business Blueprint (BBP) for the end-to-end design, configuration, customization, and rollout of ERPNext v16 integrated with the specialized Vehicle Management System (VMS) across ULTRA MRF, Automan Car Care Center, and its group of 13 operating companies.</w:t>
      </w:r>
    </w:p>
    <w:p>
      <w:r>
        <w:t>Automan Car Care Center and ULTRA MRF operate a multi-branch automotive service, tire distribution, preventive maintenance, spare parts trading, and fleet care enterprise. To achieve operational excellence, real-time inventory precision, automated workshop throughput, and consolidated multi-entity financial clarity, this project transitions the enterprise from fragmented manual logs into a unified, high-performance ERPNext v16 architecture.</w:t>
      </w:r>
    </w:p>
    <w:p>
      <w:pPr>
        <w:pStyle w:val="Heading2"/>
      </w:pPr>
      <w:r>
        <w:t>2.1 Acceptance &amp; Signatory of Specification</w:t>
      </w:r>
    </w:p>
    <w:p>
      <w:r>
        <w:t>Signature on this Business Blueprint indicates formal acceptance of the system requirements, functional scope, process flows, integration points, and delivery schedule. Post-sign-off scope enhancements are managed through the 10-day Change Request procedure.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172a"/>
            <w:tcMar>
              <w:top w:w="140" w:type="dxa"/>
              <w:bottom w:w="140" w:type="dxa"/>
              <w:left w:w="160" w:type="dxa"/>
              <w:right w:w="160" w:type="dxa"/>
            </w:tcMar>
          </w:tcPr>
          <w:p>
            <w:pPr>
              <w:jc w:val="left"/>
            </w:pPr>
            <w:r>
              <w:rPr>
                <w:rFonts w:ascii="Arial" w:hAnsi="Arial"/>
                <w:b/>
                <w:color w:val="FFFFFF"/>
                <w:sz w:val="19"/>
              </w:rPr>
              <w:t>Role / Representation</w:t>
            </w:r>
          </w:p>
        </w:tc>
        <w:tc>
          <w:tcPr>
            <w:tcW w:type="dxa" w:w="2016"/>
            <w:shd w:fill="0f172a"/>
            <w:tcMar>
              <w:top w:w="140" w:type="dxa"/>
              <w:bottom w:w="140" w:type="dxa"/>
              <w:left w:w="160" w:type="dxa"/>
              <w:right w:w="160" w:type="dxa"/>
            </w:tcMar>
          </w:tcPr>
          <w:p>
            <w:pPr>
              <w:jc w:val="left"/>
            </w:pPr>
            <w:r>
              <w:rPr>
                <w:rFonts w:ascii="Arial" w:hAnsi="Arial"/>
                <w:b/>
                <w:color w:val="FFFFFF"/>
                <w:sz w:val="19"/>
              </w:rPr>
              <w:t>Name</w:t>
            </w:r>
          </w:p>
        </w:tc>
        <w:tc>
          <w:tcPr>
            <w:tcW w:type="dxa" w:w="2304"/>
            <w:shd w:fill="0f172a"/>
            <w:tcMar>
              <w:top w:w="140" w:type="dxa"/>
              <w:bottom w:w="140" w:type="dxa"/>
              <w:left w:w="160" w:type="dxa"/>
              <w:right w:w="160" w:type="dxa"/>
            </w:tcMar>
          </w:tcPr>
          <w:p>
            <w:pPr>
              <w:jc w:val="left"/>
            </w:pPr>
            <w:r>
              <w:rPr>
                <w:rFonts w:ascii="Arial" w:hAnsi="Arial"/>
                <w:b/>
                <w:color w:val="FFFFFF"/>
                <w:sz w:val="19"/>
              </w:rPr>
              <w:t>Position / Organization</w:t>
            </w:r>
          </w:p>
        </w:tc>
        <w:tc>
          <w:tcPr>
            <w:tcW w:type="dxa" w:w="1440"/>
            <w:shd w:fill="0f172a"/>
            <w:tcMar>
              <w:top w:w="140" w:type="dxa"/>
              <w:bottom w:w="140" w:type="dxa"/>
              <w:left w:w="160" w:type="dxa"/>
              <w:right w:w="160" w:type="dxa"/>
            </w:tcMar>
          </w:tcPr>
          <w:p>
            <w:pPr>
              <w:jc w:val="left"/>
            </w:pPr>
            <w:r>
              <w:rPr>
                <w:rFonts w:ascii="Arial" w:hAnsi="Arial"/>
                <w:b/>
                <w:color w:val="FFFFFF"/>
                <w:sz w:val="19"/>
              </w:rPr>
              <w:t>Signature</w:t>
            </w:r>
          </w:p>
        </w:tc>
        <w:tc>
          <w:tcPr>
            <w:tcW w:type="dxa" w:w="1440"/>
            <w:shd w:fill="0f172a"/>
            <w:tcMar>
              <w:top w:w="140" w:type="dxa"/>
              <w:bottom w:w="140" w:type="dxa"/>
              <w:left w:w="160" w:type="dxa"/>
              <w:right w:w="160" w:type="dxa"/>
            </w:tcMar>
          </w:tcPr>
          <w:p>
            <w:pPr>
              <w:jc w:val="left"/>
            </w:pPr>
            <w:r>
              <w:rPr>
                <w:rFonts w:ascii="Arial" w:hAnsi="Arial"/>
                <w:b/>
                <w:color w:val="FFFFFF"/>
                <w:sz w:val="19"/>
              </w:rPr>
              <w:t>Date</w:t>
            </w:r>
          </w:p>
        </w:tc>
      </w:tr>
      <w:tr>
        <w:tc>
          <w:tcPr>
            <w:tcW w:type="dxa" w:w="2160"/>
            <w:shd w:fill="ffffff"/>
            <w:tcMar>
              <w:top w:w="100" w:type="dxa"/>
              <w:bottom w:w="100" w:type="dxa"/>
              <w:left w:w="140" w:type="dxa"/>
              <w:right w:w="140" w:type="dxa"/>
            </w:tcMar>
          </w:tcPr>
          <w:p>
            <w:r>
              <w:rPr>
                <w:rFonts w:ascii="Arial" w:hAnsi="Arial"/>
                <w:color w:val="1E293B"/>
                <w:sz w:val="18"/>
              </w:rPr>
              <w:t>Lead Solutions Architect</w:t>
            </w:r>
          </w:p>
        </w:tc>
        <w:tc>
          <w:tcPr>
            <w:tcW w:type="dxa" w:w="2016"/>
            <w:shd w:fill="ffffff"/>
            <w:tcMar>
              <w:top w:w="100" w:type="dxa"/>
              <w:bottom w:w="100" w:type="dxa"/>
              <w:left w:w="140" w:type="dxa"/>
              <w:right w:w="140" w:type="dxa"/>
            </w:tcMar>
          </w:tcPr>
          <w:p>
            <w:r>
              <w:rPr>
                <w:rFonts w:ascii="Arial" w:hAnsi="Arial"/>
                <w:color w:val="1E293B"/>
                <w:sz w:val="18"/>
              </w:rPr>
              <w:t>Jose Mangiliman Jr.</w:t>
            </w:r>
          </w:p>
        </w:tc>
        <w:tc>
          <w:tcPr>
            <w:tcW w:type="dxa" w:w="2304"/>
            <w:shd w:fill="ffffff"/>
            <w:tcMar>
              <w:top w:w="100" w:type="dxa"/>
              <w:bottom w:w="100" w:type="dxa"/>
              <w:left w:w="140" w:type="dxa"/>
              <w:right w:w="140" w:type="dxa"/>
            </w:tcMar>
          </w:tcPr>
          <w:p>
            <w:r>
              <w:rPr>
                <w:rFonts w:ascii="Arial" w:hAnsi="Arial"/>
                <w:color w:val="1E293B"/>
                <w:sz w:val="18"/>
              </w:rPr>
              <w:t>Lead ERP Solutions Architect</w:t>
            </w:r>
          </w:p>
        </w:tc>
        <w:tc>
          <w:tcPr>
            <w:tcW w:type="dxa" w:w="1440"/>
            <w:shd w:fill="ffffff"/>
            <w:tcMar>
              <w:top w:w="100" w:type="dxa"/>
              <w:bottom w:w="100" w:type="dxa"/>
              <w:left w:w="140" w:type="dxa"/>
              <w:right w:w="140" w:type="dxa"/>
            </w:tcMar>
          </w:tcPr>
          <w:p>
            <w:r>
              <w:rPr>
                <w:rFonts w:ascii="Arial" w:hAnsi="Arial"/>
                <w:color w:val="1E293B"/>
                <w:sz w:val="18"/>
              </w:rPr>
            </w:r>
          </w:p>
        </w:tc>
        <w:tc>
          <w:tcPr>
            <w:tcW w:type="dxa" w:w="1440"/>
            <w:shd w:fill="ffffff"/>
            <w:tcMar>
              <w:top w:w="100" w:type="dxa"/>
              <w:bottom w:w="100" w:type="dxa"/>
              <w:left w:w="140" w:type="dxa"/>
              <w:right w:w="140" w:type="dxa"/>
            </w:tcMar>
          </w:tcPr>
          <w:p>
            <w:r>
              <w:rPr>
                <w:rFonts w:ascii="Arial" w:hAnsi="Arial"/>
                <w:color w:val="1E293B"/>
                <w:sz w:val="18"/>
              </w:rPr>
            </w:r>
          </w:p>
        </w:tc>
      </w:tr>
      <w:tr>
        <w:tc>
          <w:tcPr>
            <w:tcW w:type="dxa" w:w="2160"/>
            <w:shd w:fill="f8fafc"/>
            <w:tcMar>
              <w:top w:w="100" w:type="dxa"/>
              <w:bottom w:w="100" w:type="dxa"/>
              <w:left w:w="140" w:type="dxa"/>
              <w:right w:w="140" w:type="dxa"/>
            </w:tcMar>
          </w:tcPr>
          <w:p>
            <w:r>
              <w:rPr>
                <w:rFonts w:ascii="Arial" w:hAnsi="Arial"/>
                <w:color w:val="1E293B"/>
                <w:sz w:val="18"/>
              </w:rPr>
              <w:t>Project Sponsor</w:t>
            </w:r>
          </w:p>
        </w:tc>
        <w:tc>
          <w:tcPr>
            <w:tcW w:type="dxa" w:w="2016"/>
            <w:shd w:fill="f8fafc"/>
            <w:tcMar>
              <w:top w:w="100" w:type="dxa"/>
              <w:bottom w:w="100" w:type="dxa"/>
              <w:left w:w="140" w:type="dxa"/>
              <w:right w:w="140" w:type="dxa"/>
            </w:tcMar>
          </w:tcPr>
          <w:p>
            <w:r>
              <w:rPr>
                <w:rFonts w:ascii="Arial" w:hAnsi="Arial"/>
                <w:color w:val="1E293B"/>
                <w:sz w:val="18"/>
              </w:rPr>
              <w:t>Management Executive</w:t>
            </w:r>
          </w:p>
        </w:tc>
        <w:tc>
          <w:tcPr>
            <w:tcW w:type="dxa" w:w="2304"/>
            <w:shd w:fill="f8fafc"/>
            <w:tcMar>
              <w:top w:w="100" w:type="dxa"/>
              <w:bottom w:w="100" w:type="dxa"/>
              <w:left w:w="140" w:type="dxa"/>
              <w:right w:w="140" w:type="dxa"/>
            </w:tcMar>
          </w:tcPr>
          <w:p>
            <w:r>
              <w:rPr>
                <w:rFonts w:ascii="Arial" w:hAnsi="Arial"/>
                <w:color w:val="1E293B"/>
                <w:sz w:val="18"/>
              </w:rPr>
              <w:t>Managing Director / ULTRA MRF</w:t>
            </w:r>
          </w:p>
        </w:tc>
        <w:tc>
          <w:tcPr>
            <w:tcW w:type="dxa" w:w="1440"/>
            <w:shd w:fill="f8fafc"/>
            <w:tcMar>
              <w:top w:w="100" w:type="dxa"/>
              <w:bottom w:w="100" w:type="dxa"/>
              <w:left w:w="140" w:type="dxa"/>
              <w:right w:w="140" w:type="dxa"/>
            </w:tcMar>
          </w:tcPr>
          <w:p>
            <w:r>
              <w:rPr>
                <w:rFonts w:ascii="Arial" w:hAnsi="Arial"/>
                <w:color w:val="1E293B"/>
                <w:sz w:val="18"/>
              </w:rPr>
            </w:r>
          </w:p>
        </w:tc>
        <w:tc>
          <w:tcPr>
            <w:tcW w:type="dxa" w:w="1440"/>
            <w:shd w:fill="f8fafc"/>
            <w:tcMar>
              <w:top w:w="100" w:type="dxa"/>
              <w:bottom w:w="100" w:type="dxa"/>
              <w:left w:w="140" w:type="dxa"/>
              <w:right w:w="140" w:type="dxa"/>
            </w:tcMar>
          </w:tcPr>
          <w:p>
            <w:r>
              <w:rPr>
                <w:rFonts w:ascii="Arial" w:hAnsi="Arial"/>
                <w:color w:val="1E293B"/>
                <w:sz w:val="18"/>
              </w:rPr>
            </w:r>
          </w:p>
        </w:tc>
      </w:tr>
      <w:tr>
        <w:tc>
          <w:tcPr>
            <w:tcW w:type="dxa" w:w="2160"/>
            <w:shd w:fill="ffffff"/>
            <w:tcMar>
              <w:top w:w="100" w:type="dxa"/>
              <w:bottom w:w="100" w:type="dxa"/>
              <w:left w:w="140" w:type="dxa"/>
              <w:right w:w="140" w:type="dxa"/>
            </w:tcMar>
          </w:tcPr>
          <w:p>
            <w:r>
              <w:rPr>
                <w:rFonts w:ascii="Arial" w:hAnsi="Arial"/>
                <w:color w:val="1E293B"/>
                <w:sz w:val="18"/>
              </w:rPr>
              <w:t>Operations Lead</w:t>
            </w:r>
          </w:p>
        </w:tc>
        <w:tc>
          <w:tcPr>
            <w:tcW w:type="dxa" w:w="2016"/>
            <w:shd w:fill="ffffff"/>
            <w:tcMar>
              <w:top w:w="100" w:type="dxa"/>
              <w:bottom w:w="100" w:type="dxa"/>
              <w:left w:w="140" w:type="dxa"/>
              <w:right w:w="140" w:type="dxa"/>
            </w:tcMar>
          </w:tcPr>
          <w:p>
            <w:r>
              <w:rPr>
                <w:rFonts w:ascii="Arial" w:hAnsi="Arial"/>
                <w:color w:val="1E293B"/>
                <w:sz w:val="18"/>
              </w:rPr>
              <w:t>Workshop Operations Manager</w:t>
            </w:r>
          </w:p>
        </w:tc>
        <w:tc>
          <w:tcPr>
            <w:tcW w:type="dxa" w:w="2304"/>
            <w:shd w:fill="ffffff"/>
            <w:tcMar>
              <w:top w:w="100" w:type="dxa"/>
              <w:bottom w:w="100" w:type="dxa"/>
              <w:left w:w="140" w:type="dxa"/>
              <w:right w:w="140" w:type="dxa"/>
            </w:tcMar>
          </w:tcPr>
          <w:p>
            <w:r>
              <w:rPr>
                <w:rFonts w:ascii="Arial" w:hAnsi="Arial"/>
                <w:color w:val="1E293B"/>
                <w:sz w:val="18"/>
              </w:rPr>
              <w:t>Automan Car Care Center</w:t>
            </w:r>
          </w:p>
        </w:tc>
        <w:tc>
          <w:tcPr>
            <w:tcW w:type="dxa" w:w="1440"/>
            <w:shd w:fill="ffffff"/>
            <w:tcMar>
              <w:top w:w="100" w:type="dxa"/>
              <w:bottom w:w="100" w:type="dxa"/>
              <w:left w:w="140" w:type="dxa"/>
              <w:right w:w="140" w:type="dxa"/>
            </w:tcMar>
          </w:tcPr>
          <w:p>
            <w:r>
              <w:rPr>
                <w:rFonts w:ascii="Arial" w:hAnsi="Arial"/>
                <w:color w:val="1E293B"/>
                <w:sz w:val="18"/>
              </w:rPr>
            </w:r>
          </w:p>
        </w:tc>
        <w:tc>
          <w:tcPr>
            <w:tcW w:type="dxa" w:w="1440"/>
            <w:shd w:fill="ffffff"/>
            <w:tcMar>
              <w:top w:w="100" w:type="dxa"/>
              <w:bottom w:w="100" w:type="dxa"/>
              <w:left w:w="140" w:type="dxa"/>
              <w:right w:w="140" w:type="dxa"/>
            </w:tcMar>
          </w:tcPr>
          <w:p>
            <w:r>
              <w:rPr>
                <w:rFonts w:ascii="Arial" w:hAnsi="Arial"/>
                <w:color w:val="1E293B"/>
                <w:sz w:val="18"/>
              </w:rPr>
            </w:r>
          </w:p>
        </w:tc>
      </w:tr>
      <w:tr>
        <w:tc>
          <w:tcPr>
            <w:tcW w:type="dxa" w:w="2160"/>
            <w:shd w:fill="f8fafc"/>
            <w:tcMar>
              <w:top w:w="100" w:type="dxa"/>
              <w:bottom w:w="100" w:type="dxa"/>
              <w:left w:w="140" w:type="dxa"/>
              <w:right w:w="140" w:type="dxa"/>
            </w:tcMar>
          </w:tcPr>
          <w:p>
            <w:r>
              <w:rPr>
                <w:rFonts w:ascii="Arial" w:hAnsi="Arial"/>
                <w:color w:val="1E293B"/>
                <w:sz w:val="18"/>
              </w:rPr>
              <w:t>Finance Lead</w:t>
            </w:r>
          </w:p>
        </w:tc>
        <w:tc>
          <w:tcPr>
            <w:tcW w:type="dxa" w:w="2016"/>
            <w:shd w:fill="f8fafc"/>
            <w:tcMar>
              <w:top w:w="100" w:type="dxa"/>
              <w:bottom w:w="100" w:type="dxa"/>
              <w:left w:w="140" w:type="dxa"/>
              <w:right w:w="140" w:type="dxa"/>
            </w:tcMar>
          </w:tcPr>
          <w:p>
            <w:r>
              <w:rPr>
                <w:rFonts w:ascii="Arial" w:hAnsi="Arial"/>
                <w:color w:val="1E293B"/>
                <w:sz w:val="18"/>
              </w:rPr>
              <w:t>Chief Financial Controller</w:t>
            </w:r>
          </w:p>
        </w:tc>
        <w:tc>
          <w:tcPr>
            <w:tcW w:type="dxa" w:w="2304"/>
            <w:shd w:fill="f8fafc"/>
            <w:tcMar>
              <w:top w:w="100" w:type="dxa"/>
              <w:bottom w:w="100" w:type="dxa"/>
              <w:left w:w="140" w:type="dxa"/>
              <w:right w:w="140" w:type="dxa"/>
            </w:tcMar>
          </w:tcPr>
          <w:p>
            <w:r>
              <w:rPr>
                <w:rFonts w:ascii="Arial" w:hAnsi="Arial"/>
                <w:color w:val="1E293B"/>
                <w:sz w:val="18"/>
              </w:rPr>
              <w:t>ULTRA MRF Group</w:t>
            </w:r>
          </w:p>
        </w:tc>
        <w:tc>
          <w:tcPr>
            <w:tcW w:type="dxa" w:w="1440"/>
            <w:shd w:fill="f8fafc"/>
            <w:tcMar>
              <w:top w:w="100" w:type="dxa"/>
              <w:bottom w:w="100" w:type="dxa"/>
              <w:left w:w="140" w:type="dxa"/>
              <w:right w:w="140" w:type="dxa"/>
            </w:tcMar>
          </w:tcPr>
          <w:p>
            <w:r>
              <w:rPr>
                <w:rFonts w:ascii="Arial" w:hAnsi="Arial"/>
                <w:color w:val="1E293B"/>
                <w:sz w:val="18"/>
              </w:rPr>
            </w:r>
          </w:p>
        </w:tc>
        <w:tc>
          <w:tcPr>
            <w:tcW w:type="dxa" w:w="1440"/>
            <w:shd w:fill="f8fafc"/>
            <w:tcMar>
              <w:top w:w="100" w:type="dxa"/>
              <w:bottom w:w="100" w:type="dxa"/>
              <w:left w:w="140" w:type="dxa"/>
              <w:right w:w="140" w:type="dxa"/>
            </w:tcMar>
          </w:tcPr>
          <w:p>
            <w:r>
              <w:rPr>
                <w:rFonts w:ascii="Arial" w:hAnsi="Arial"/>
                <w:color w:val="1E293B"/>
                <w:sz w:val="18"/>
              </w:rPr>
            </w:r>
          </w:p>
        </w:tc>
      </w:tr>
    </w:tbl>
    <w:p/>
    <w:p>
      <w:pPr>
        <w:pStyle w:val="Heading2"/>
      </w:pPr>
      <w:r>
        <w:t>2.2 Purpose of Document</w:t>
      </w:r>
    </w:p>
    <w:p>
      <w:r>
        <w:t>The primary purpose of this Blueprint is to:</w:t>
      </w:r>
    </w:p>
    <w:tbl>
      <w:tblPr>
        <w:tblW w:type="auto" w:w="0"/>
        <w:jc w:val="center"/>
        <w:tblLook w:firstColumn="1" w:firstRow="1" w:lastColumn="0" w:lastRow="0" w:noHBand="0" w:noVBand="1" w:val="04A0"/>
      </w:tblPr>
      <w:tblGrid>
        <w:gridCol w:w="9936"/>
      </w:tblGrid>
      <w:tr>
        <w:tc>
          <w:tcPr>
            <w:tcW w:type="dxa" w:w="9360"/>
            <w:shd w:fill="f0f9ff"/>
            <w:tcMar>
              <w:top w:w="140" w:type="dxa"/>
              <w:bottom w:w="140" w:type="dxa"/>
              <w:left w:w="180" w:type="dxa"/>
              <w:right w:w="180" w:type="dxa"/>
            </w:tcMar>
          </w:tcPr>
          <w:p>
            <w:r>
              <w:rPr>
                <w:rFonts w:ascii="Arial" w:hAnsi="Arial"/>
                <w:b/>
                <w:color w:val="0F172A"/>
                <w:sz w:val="20"/>
              </w:rPr>
              <w:t>📌 Blueprint Core Objectives</w:t>
              <w:br/>
            </w:r>
            <w:r>
              <w:rPr>
                <w:rFonts w:ascii="Arial" w:hAnsi="Arial"/>
                <w:color w:val="334155"/>
                <w:sz w:val="18"/>
              </w:rPr>
              <w:t>• Standardize workshop workflows from Vehicle Intake, Inspection, Estimate, Job Order (VJO) to Point of Sale (POS) and Release.</w:t>
              <w:br/>
            </w:r>
            <w:r>
              <w:rPr>
                <w:rFonts w:ascii="Arial" w:hAnsi="Arial"/>
                <w:color w:val="334155"/>
                <w:sz w:val="18"/>
              </w:rPr>
              <w:t>• Establish multi-company financial consolidation across 13 operating entities with dynamic P&amp;L, Balance Sheet, and General Ledger audit.</w:t>
              <w:br/>
            </w:r>
            <w:r>
              <w:rPr>
                <w:rFonts w:ascii="Arial" w:hAnsi="Arial"/>
                <w:color w:val="334155"/>
                <w:sz w:val="18"/>
              </w:rPr>
              <w:t>• Deploy the real-time Hierarchical Exploded Cash Flow Statement (Daily, Monthly, Yearly) with horizontal drilldown.</w:t>
              <w:br/>
            </w:r>
            <w:r>
              <w:rPr>
                <w:rFonts w:ascii="Arial" w:hAnsi="Arial"/>
                <w:color w:val="334155"/>
                <w:sz w:val="18"/>
              </w:rPr>
              <w:t>• Implement Terms-based Accounts Receivable (AR) &amp; Accounts Payable (AP) Aging analysis across 30, 60, 90, 90+ day buckets.</w:t>
              <w:br/>
            </w:r>
            <w:r>
              <w:rPr>
                <w:rFonts w:ascii="Arial" w:hAnsi="Arial"/>
                <w:color w:val="334155"/>
                <w:sz w:val="18"/>
              </w:rPr>
              <w:t>• Enforce strict serialized part tracking, bin location routing, receiver safety checks, and multi-branch warehouse transfers.</w:t>
              <w:br/>
            </w:r>
            <w:r>
              <w:rPr>
                <w:rFonts w:ascii="Arial" w:hAnsi="Arial"/>
                <w:color w:val="334155"/>
                <w:sz w:val="18"/>
              </w:rPr>
              <w:t>• Ensure full Philippine BIR Tax compliance (BIR 2307, Sales Book, Purchases Book, Cash Receipts/Disbursements, VAT Returns).</w:t>
              <w:br/>
            </w:r>
          </w:p>
        </w:tc>
      </w:tr>
    </w:tbl>
    <w:p/>
    <w:p>
      <w:pPr>
        <w:pStyle w:val="Heading2"/>
      </w:pPr>
      <w:r>
        <w:t>2.3 Stakeholder &amp; Intended Audience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40" w:type="dxa"/>
              <w:bottom w:w="140" w:type="dxa"/>
              <w:left w:w="160" w:type="dxa"/>
              <w:right w:w="160" w:type="dxa"/>
            </w:tcMar>
          </w:tcPr>
          <w:p>
            <w:pPr>
              <w:jc w:val="left"/>
            </w:pPr>
            <w:r>
              <w:rPr>
                <w:rFonts w:ascii="Arial" w:hAnsi="Arial"/>
                <w:b/>
                <w:color w:val="FFFFFF"/>
                <w:sz w:val="19"/>
              </w:rPr>
              <w:t>Stakeholder Group</w:t>
            </w:r>
          </w:p>
        </w:tc>
        <w:tc>
          <w:tcPr>
            <w:tcW w:type="dxa" w:w="2592"/>
            <w:shd w:fill="0f172a"/>
            <w:tcMar>
              <w:top w:w="140" w:type="dxa"/>
              <w:bottom w:w="140" w:type="dxa"/>
              <w:left w:w="160" w:type="dxa"/>
              <w:right w:w="160" w:type="dxa"/>
            </w:tcMar>
          </w:tcPr>
          <w:p>
            <w:pPr>
              <w:jc w:val="left"/>
            </w:pPr>
            <w:r>
              <w:rPr>
                <w:rFonts w:ascii="Arial" w:hAnsi="Arial"/>
                <w:b/>
                <w:color w:val="FFFFFF"/>
                <w:sz w:val="19"/>
              </w:rPr>
              <w:t>Primary Roles</w:t>
            </w:r>
          </w:p>
        </w:tc>
        <w:tc>
          <w:tcPr>
            <w:tcW w:type="dxa" w:w="4176"/>
            <w:shd w:fill="0f172a"/>
            <w:tcMar>
              <w:top w:w="140" w:type="dxa"/>
              <w:bottom w:w="140" w:type="dxa"/>
              <w:left w:w="160" w:type="dxa"/>
              <w:right w:w="160" w:type="dxa"/>
            </w:tcMar>
          </w:tcPr>
          <w:p>
            <w:pPr>
              <w:jc w:val="left"/>
            </w:pPr>
            <w:r>
              <w:rPr>
                <w:rFonts w:ascii="Arial" w:hAnsi="Arial"/>
                <w:b/>
                <w:color w:val="FFFFFF"/>
                <w:sz w:val="19"/>
              </w:rPr>
              <w:t>Key Responsibilities in ERPNext v16</w:t>
            </w:r>
          </w:p>
        </w:tc>
      </w:tr>
      <w:tr>
        <w:tc>
          <w:tcPr>
            <w:tcW w:type="dxa" w:w="2592"/>
            <w:shd w:fill="ffffff"/>
            <w:tcMar>
              <w:top w:w="100" w:type="dxa"/>
              <w:bottom w:w="100" w:type="dxa"/>
              <w:left w:w="140" w:type="dxa"/>
              <w:right w:w="140" w:type="dxa"/>
            </w:tcMar>
          </w:tcPr>
          <w:p>
            <w:r>
              <w:rPr>
                <w:rFonts w:ascii="Arial" w:hAnsi="Arial"/>
                <w:color w:val="1E293B"/>
                <w:sz w:val="18"/>
              </w:rPr>
              <w:t>Executive Management</w:t>
            </w:r>
          </w:p>
        </w:tc>
        <w:tc>
          <w:tcPr>
            <w:tcW w:type="dxa" w:w="2592"/>
            <w:shd w:fill="ffffff"/>
            <w:tcMar>
              <w:top w:w="100" w:type="dxa"/>
              <w:bottom w:w="100" w:type="dxa"/>
              <w:left w:w="140" w:type="dxa"/>
              <w:right w:w="140" w:type="dxa"/>
            </w:tcMar>
          </w:tcPr>
          <w:p>
            <w:r>
              <w:rPr>
                <w:rFonts w:ascii="Arial" w:hAnsi="Arial"/>
                <w:color w:val="1E293B"/>
                <w:sz w:val="18"/>
              </w:rPr>
              <w:t>Board / General Managers</w:t>
            </w:r>
          </w:p>
        </w:tc>
        <w:tc>
          <w:tcPr>
            <w:tcW w:type="dxa" w:w="4176"/>
            <w:shd w:fill="ffffff"/>
            <w:tcMar>
              <w:top w:w="100" w:type="dxa"/>
              <w:bottom w:w="100" w:type="dxa"/>
              <w:left w:w="140" w:type="dxa"/>
              <w:right w:w="140" w:type="dxa"/>
            </w:tcMar>
          </w:tcPr>
          <w:p>
            <w:r>
              <w:rPr>
                <w:rFonts w:ascii="Arial" w:hAnsi="Arial"/>
                <w:color w:val="1E293B"/>
                <w:sz w:val="18"/>
              </w:rPr>
              <w:t>Review consolidated financial health, cash flow projections, branch P&amp;L, and AR/AP aging.</w:t>
            </w:r>
          </w:p>
        </w:tc>
      </w:tr>
      <w:tr>
        <w:tc>
          <w:tcPr>
            <w:tcW w:type="dxa" w:w="2592"/>
            <w:shd w:fill="f8fafc"/>
            <w:tcMar>
              <w:top w:w="100" w:type="dxa"/>
              <w:bottom w:w="100" w:type="dxa"/>
              <w:left w:w="140" w:type="dxa"/>
              <w:right w:w="140" w:type="dxa"/>
            </w:tcMar>
          </w:tcPr>
          <w:p>
            <w:r>
              <w:rPr>
                <w:rFonts w:ascii="Arial" w:hAnsi="Arial"/>
                <w:color w:val="1E293B"/>
                <w:sz w:val="18"/>
              </w:rPr>
              <w:t>Workshop Service Team</w:t>
            </w:r>
          </w:p>
        </w:tc>
        <w:tc>
          <w:tcPr>
            <w:tcW w:type="dxa" w:w="2592"/>
            <w:shd w:fill="f8fafc"/>
            <w:tcMar>
              <w:top w:w="100" w:type="dxa"/>
              <w:bottom w:w="100" w:type="dxa"/>
              <w:left w:w="140" w:type="dxa"/>
              <w:right w:w="140" w:type="dxa"/>
            </w:tcMar>
          </w:tcPr>
          <w:p>
            <w:r>
              <w:rPr>
                <w:rFonts w:ascii="Arial" w:hAnsi="Arial"/>
                <w:color w:val="1E293B"/>
                <w:sz w:val="18"/>
              </w:rPr>
              <w:t>Service Advisors, Mechanics, QA</w:t>
            </w:r>
          </w:p>
        </w:tc>
        <w:tc>
          <w:tcPr>
            <w:tcW w:type="dxa" w:w="4176"/>
            <w:shd w:fill="f8fafc"/>
            <w:tcMar>
              <w:top w:w="100" w:type="dxa"/>
              <w:bottom w:w="100" w:type="dxa"/>
              <w:left w:w="140" w:type="dxa"/>
              <w:right w:w="140" w:type="dxa"/>
            </w:tcMar>
          </w:tcPr>
          <w:p>
            <w:r>
              <w:rPr>
                <w:rFonts w:ascii="Arial" w:hAnsi="Arial"/>
                <w:color w:val="1E293B"/>
                <w:sz w:val="18"/>
              </w:rPr>
              <w:t>Execute Vehicle Inspections, Estimates, Job Orders, part issues, and vehicle release.</w:t>
            </w:r>
          </w:p>
        </w:tc>
      </w:tr>
      <w:tr>
        <w:tc>
          <w:tcPr>
            <w:tcW w:type="dxa" w:w="2592"/>
            <w:shd w:fill="ffffff"/>
            <w:tcMar>
              <w:top w:w="100" w:type="dxa"/>
              <w:bottom w:w="100" w:type="dxa"/>
              <w:left w:w="140" w:type="dxa"/>
              <w:right w:w="140" w:type="dxa"/>
            </w:tcMar>
          </w:tcPr>
          <w:p>
            <w:r>
              <w:rPr>
                <w:rFonts w:ascii="Arial" w:hAnsi="Arial"/>
                <w:color w:val="1E293B"/>
                <w:sz w:val="18"/>
              </w:rPr>
              <w:t>Cashier &amp; POS Staff</w:t>
            </w:r>
          </w:p>
        </w:tc>
        <w:tc>
          <w:tcPr>
            <w:tcW w:type="dxa" w:w="2592"/>
            <w:shd w:fill="ffffff"/>
            <w:tcMar>
              <w:top w:w="100" w:type="dxa"/>
              <w:bottom w:w="100" w:type="dxa"/>
              <w:left w:w="140" w:type="dxa"/>
              <w:right w:w="140" w:type="dxa"/>
            </w:tcMar>
          </w:tcPr>
          <w:p>
            <w:r>
              <w:rPr>
                <w:rFonts w:ascii="Arial" w:hAnsi="Arial"/>
                <w:color w:val="1E293B"/>
                <w:sz w:val="18"/>
              </w:rPr>
              <w:t>Cashiers, Shift Supervisors</w:t>
            </w:r>
          </w:p>
        </w:tc>
        <w:tc>
          <w:tcPr>
            <w:tcW w:type="dxa" w:w="4176"/>
            <w:shd w:fill="ffffff"/>
            <w:tcMar>
              <w:top w:w="100" w:type="dxa"/>
              <w:bottom w:w="100" w:type="dxa"/>
              <w:left w:w="140" w:type="dxa"/>
              <w:right w:w="140" w:type="dxa"/>
            </w:tcMar>
          </w:tcPr>
          <w:p>
            <w:r>
              <w:rPr>
                <w:rFonts w:ascii="Arial" w:hAnsi="Arial"/>
                <w:color w:val="1E293B"/>
                <w:sz w:val="18"/>
              </w:rPr>
              <w:t>Conduct shift opening/closing, invoice encoding, multi-mode payment collection (Cash, Card, GCash).</w:t>
            </w:r>
          </w:p>
        </w:tc>
      </w:tr>
      <w:tr>
        <w:tc>
          <w:tcPr>
            <w:tcW w:type="dxa" w:w="2592"/>
            <w:shd w:fill="f8fafc"/>
            <w:tcMar>
              <w:top w:w="100" w:type="dxa"/>
              <w:bottom w:w="100" w:type="dxa"/>
              <w:left w:w="140" w:type="dxa"/>
              <w:right w:w="140" w:type="dxa"/>
            </w:tcMar>
          </w:tcPr>
          <w:p>
            <w:r>
              <w:rPr>
                <w:rFonts w:ascii="Arial" w:hAnsi="Arial"/>
                <w:color w:val="1E293B"/>
                <w:sz w:val="18"/>
              </w:rPr>
              <w:t>Warehouse &amp; Parts Team</w:t>
            </w:r>
          </w:p>
        </w:tc>
        <w:tc>
          <w:tcPr>
            <w:tcW w:type="dxa" w:w="2592"/>
            <w:shd w:fill="f8fafc"/>
            <w:tcMar>
              <w:top w:w="100" w:type="dxa"/>
              <w:bottom w:w="100" w:type="dxa"/>
              <w:left w:w="140" w:type="dxa"/>
              <w:right w:w="140" w:type="dxa"/>
            </w:tcMar>
          </w:tcPr>
          <w:p>
            <w:r>
              <w:rPr>
                <w:rFonts w:ascii="Arial" w:hAnsi="Arial"/>
                <w:color w:val="1E293B"/>
                <w:sz w:val="18"/>
              </w:rPr>
              <w:t>Stock Custodians, Parts Managers</w:t>
            </w:r>
          </w:p>
        </w:tc>
        <w:tc>
          <w:tcPr>
            <w:tcW w:type="dxa" w:w="4176"/>
            <w:shd w:fill="f8fafc"/>
            <w:tcMar>
              <w:top w:w="100" w:type="dxa"/>
              <w:bottom w:w="100" w:type="dxa"/>
              <w:left w:w="140" w:type="dxa"/>
              <w:right w:w="140" w:type="dxa"/>
            </w:tcMar>
          </w:tcPr>
          <w:p>
            <w:r>
              <w:rPr>
                <w:rFonts w:ascii="Arial" w:hAnsi="Arial"/>
                <w:color w:val="1E293B"/>
                <w:sz w:val="18"/>
              </w:rPr>
              <w:t>Stock entry receiving, bin location assignments, item compatibility checks, and physical count audits.</w:t>
            </w:r>
          </w:p>
        </w:tc>
      </w:tr>
      <w:tr>
        <w:tc>
          <w:tcPr>
            <w:tcW w:type="dxa" w:w="2592"/>
            <w:shd w:fill="ffffff"/>
            <w:tcMar>
              <w:top w:w="100" w:type="dxa"/>
              <w:bottom w:w="100" w:type="dxa"/>
              <w:left w:w="140" w:type="dxa"/>
              <w:right w:w="140" w:type="dxa"/>
            </w:tcMar>
          </w:tcPr>
          <w:p>
            <w:r>
              <w:rPr>
                <w:rFonts w:ascii="Arial" w:hAnsi="Arial"/>
                <w:color w:val="1E293B"/>
                <w:sz w:val="18"/>
              </w:rPr>
              <w:t>Accounting &amp; Finance</w:t>
            </w:r>
          </w:p>
        </w:tc>
        <w:tc>
          <w:tcPr>
            <w:tcW w:type="dxa" w:w="2592"/>
            <w:shd w:fill="ffffff"/>
            <w:tcMar>
              <w:top w:w="100" w:type="dxa"/>
              <w:bottom w:w="100" w:type="dxa"/>
              <w:left w:w="140" w:type="dxa"/>
              <w:right w:w="140" w:type="dxa"/>
            </w:tcMar>
          </w:tcPr>
          <w:p>
            <w:r>
              <w:rPr>
                <w:rFonts w:ascii="Arial" w:hAnsi="Arial"/>
                <w:color w:val="1E293B"/>
                <w:sz w:val="18"/>
              </w:rPr>
              <w:t>Accountants, Bookkeepers, Auditors</w:t>
            </w:r>
          </w:p>
        </w:tc>
        <w:tc>
          <w:tcPr>
            <w:tcW w:type="dxa" w:w="4176"/>
            <w:shd w:fill="ffffff"/>
            <w:tcMar>
              <w:top w:w="100" w:type="dxa"/>
              <w:bottom w:w="100" w:type="dxa"/>
              <w:left w:w="140" w:type="dxa"/>
              <w:right w:w="140" w:type="dxa"/>
            </w:tcMar>
          </w:tcPr>
          <w:p>
            <w:r>
              <w:rPr>
                <w:rFonts w:ascii="Arial" w:hAnsi="Arial"/>
                <w:color w:val="1E293B"/>
                <w:sz w:val="18"/>
              </w:rPr>
              <w:t>General ledger audit, bank reconciliation, BIR tax journal reporting, and vendor payment disbursement.</w:t>
            </w:r>
          </w:p>
        </w:tc>
      </w:tr>
      <w:tr>
        <w:tc>
          <w:tcPr>
            <w:tcW w:type="dxa" w:w="2592"/>
            <w:shd w:fill="f8fafc"/>
            <w:tcMar>
              <w:top w:w="100" w:type="dxa"/>
              <w:bottom w:w="100" w:type="dxa"/>
              <w:left w:w="140" w:type="dxa"/>
              <w:right w:w="140" w:type="dxa"/>
            </w:tcMar>
          </w:tcPr>
          <w:p>
            <w:r>
              <w:rPr>
                <w:rFonts w:ascii="Arial" w:hAnsi="Arial"/>
                <w:color w:val="1E293B"/>
                <w:sz w:val="18"/>
              </w:rPr>
              <w:t>System Administration</w:t>
            </w:r>
          </w:p>
        </w:tc>
        <w:tc>
          <w:tcPr>
            <w:tcW w:type="dxa" w:w="2592"/>
            <w:shd w:fill="f8fafc"/>
            <w:tcMar>
              <w:top w:w="100" w:type="dxa"/>
              <w:bottom w:w="100" w:type="dxa"/>
              <w:left w:w="140" w:type="dxa"/>
              <w:right w:w="140" w:type="dxa"/>
            </w:tcMar>
          </w:tcPr>
          <w:p>
            <w:r>
              <w:rPr>
                <w:rFonts w:ascii="Arial" w:hAnsi="Arial"/>
                <w:color w:val="1E293B"/>
                <w:sz w:val="18"/>
              </w:rPr>
              <w:t>Jose Mangiliman Jr. / IT Team</w:t>
            </w:r>
          </w:p>
        </w:tc>
        <w:tc>
          <w:tcPr>
            <w:tcW w:type="dxa" w:w="4176"/>
            <w:shd w:fill="f8fafc"/>
            <w:tcMar>
              <w:top w:w="100" w:type="dxa"/>
              <w:bottom w:w="100" w:type="dxa"/>
              <w:left w:w="140" w:type="dxa"/>
              <w:right w:w="140" w:type="dxa"/>
            </w:tcMar>
          </w:tcPr>
          <w:p>
            <w:r>
              <w:rPr>
                <w:rFonts w:ascii="Arial" w:hAnsi="Arial"/>
                <w:color w:val="1E293B"/>
                <w:sz w:val="18"/>
              </w:rPr>
              <w:t>Role-based access control, server script maintenance, data backups, and technical infrastructure.</w:t>
            </w:r>
          </w:p>
        </w:tc>
      </w:tr>
    </w:tbl>
    <w:p/>
    <w:p>
      <w:pPr>
        <w:pStyle w:val="Heading2"/>
      </w:pPr>
      <w:r>
        <w:t>2.4 Multi-Company Enterprise Landscape (13 Entities)</w:t>
      </w:r>
    </w:p>
    <w:p>
      <w:r>
        <w:t>The enterprise architecture natively consolidates 13 operating companies under unified Chart of Accounts and intercompany transaction controls: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76"/>
            <w:shd w:fill="0f172a"/>
            <w:tcMar>
              <w:top w:w="140" w:type="dxa"/>
              <w:bottom w:w="140" w:type="dxa"/>
              <w:left w:w="160" w:type="dxa"/>
              <w:right w:w="160" w:type="dxa"/>
            </w:tcMar>
          </w:tcPr>
          <w:p>
            <w:pPr>
              <w:jc w:val="left"/>
            </w:pPr>
            <w:r>
              <w:rPr>
                <w:rFonts w:ascii="Arial" w:hAnsi="Arial"/>
                <w:b/>
                <w:color w:val="FFFFFF"/>
                <w:sz w:val="19"/>
              </w:rPr>
              <w:t>#</w:t>
            </w:r>
          </w:p>
        </w:tc>
        <w:tc>
          <w:tcPr>
            <w:tcW w:type="dxa" w:w="3168"/>
            <w:shd w:fill="0f172a"/>
            <w:tcMar>
              <w:top w:w="140" w:type="dxa"/>
              <w:bottom w:w="140" w:type="dxa"/>
              <w:left w:w="160" w:type="dxa"/>
              <w:right w:w="160" w:type="dxa"/>
            </w:tcMar>
          </w:tcPr>
          <w:p>
            <w:pPr>
              <w:jc w:val="left"/>
            </w:pPr>
            <w:r>
              <w:rPr>
                <w:rFonts w:ascii="Arial" w:hAnsi="Arial"/>
                <w:b/>
                <w:color w:val="FFFFFF"/>
                <w:sz w:val="19"/>
              </w:rPr>
              <w:t>Company Name</w:t>
            </w:r>
          </w:p>
        </w:tc>
        <w:tc>
          <w:tcPr>
            <w:tcW w:type="dxa" w:w="1440"/>
            <w:shd w:fill="0f172a"/>
            <w:tcMar>
              <w:top w:w="140" w:type="dxa"/>
              <w:bottom w:w="140" w:type="dxa"/>
              <w:left w:w="160" w:type="dxa"/>
              <w:right w:w="160" w:type="dxa"/>
            </w:tcMar>
          </w:tcPr>
          <w:p>
            <w:pPr>
              <w:jc w:val="left"/>
            </w:pPr>
            <w:r>
              <w:rPr>
                <w:rFonts w:ascii="Arial" w:hAnsi="Arial"/>
                <w:b/>
                <w:color w:val="FFFFFF"/>
                <w:sz w:val="19"/>
              </w:rPr>
              <w:t>Code / Abbr</w:t>
            </w:r>
          </w:p>
        </w:tc>
        <w:tc>
          <w:tcPr>
            <w:tcW w:type="dxa" w:w="3168"/>
            <w:shd w:fill="0f172a"/>
            <w:tcMar>
              <w:top w:w="140" w:type="dxa"/>
              <w:bottom w:w="140" w:type="dxa"/>
              <w:left w:w="160" w:type="dxa"/>
              <w:right w:w="160" w:type="dxa"/>
            </w:tcMar>
          </w:tcPr>
          <w:p>
            <w:pPr>
              <w:jc w:val="left"/>
            </w:pPr>
            <w:r>
              <w:rPr>
                <w:rFonts w:ascii="Arial" w:hAnsi="Arial"/>
                <w:b/>
                <w:color w:val="FFFFFF"/>
                <w:sz w:val="19"/>
              </w:rPr>
              <w:t>Primary Business Domain</w:t>
            </w:r>
          </w:p>
        </w:tc>
        <w:tc>
          <w:tcPr>
            <w:tcW w:type="dxa" w:w="1008"/>
            <w:shd w:fill="0f172a"/>
            <w:tcMar>
              <w:top w:w="140" w:type="dxa"/>
              <w:bottom w:w="140" w:type="dxa"/>
              <w:left w:w="160" w:type="dxa"/>
              <w:right w:w="160" w:type="dxa"/>
            </w:tcMar>
          </w:tcPr>
          <w:p>
            <w:pPr>
              <w:jc w:val="left"/>
            </w:pPr>
            <w:r>
              <w:rPr>
                <w:rFonts w:ascii="Arial" w:hAnsi="Arial"/>
                <w:b/>
                <w:color w:val="FFFFFF"/>
                <w:sz w:val="19"/>
              </w:rPr>
              <w:t>Default Currency</w:t>
            </w:r>
          </w:p>
        </w:tc>
      </w:tr>
      <w:tr>
        <w:tc>
          <w:tcPr>
            <w:tcW w:type="dxa" w:w="576"/>
            <w:shd w:fill="ffffff"/>
            <w:tcMar>
              <w:top w:w="100" w:type="dxa"/>
              <w:bottom w:w="100" w:type="dxa"/>
              <w:left w:w="140" w:type="dxa"/>
              <w:right w:w="140" w:type="dxa"/>
            </w:tcMar>
          </w:tcPr>
          <w:p>
            <w:r>
              <w:rPr>
                <w:rFonts w:ascii="Arial" w:hAnsi="Arial"/>
                <w:color w:val="1E293B"/>
                <w:sz w:val="18"/>
              </w:rPr>
              <w:t>1</w:t>
            </w:r>
          </w:p>
        </w:tc>
        <w:tc>
          <w:tcPr>
            <w:tcW w:type="dxa" w:w="3168"/>
            <w:shd w:fill="ffffff"/>
            <w:tcMar>
              <w:top w:w="100" w:type="dxa"/>
              <w:bottom w:w="100" w:type="dxa"/>
              <w:left w:w="140" w:type="dxa"/>
              <w:right w:w="140" w:type="dxa"/>
            </w:tcMar>
          </w:tcPr>
          <w:p>
            <w:r>
              <w:rPr>
                <w:rFonts w:ascii="Arial" w:hAnsi="Arial"/>
                <w:color w:val="1E293B"/>
                <w:sz w:val="18"/>
              </w:rPr>
              <w:t>Automan Car Care Center</w:t>
            </w:r>
          </w:p>
        </w:tc>
        <w:tc>
          <w:tcPr>
            <w:tcW w:type="dxa" w:w="1440"/>
            <w:shd w:fill="ffffff"/>
            <w:tcMar>
              <w:top w:w="100" w:type="dxa"/>
              <w:bottom w:w="100" w:type="dxa"/>
              <w:left w:w="140" w:type="dxa"/>
              <w:right w:w="140" w:type="dxa"/>
            </w:tcMar>
          </w:tcPr>
          <w:p>
            <w:r>
              <w:rPr>
                <w:rFonts w:ascii="Arial" w:hAnsi="Arial"/>
                <w:color w:val="1E293B"/>
                <w:sz w:val="18"/>
              </w:rPr>
              <w:t>ACCC</w:t>
            </w:r>
          </w:p>
        </w:tc>
        <w:tc>
          <w:tcPr>
            <w:tcW w:type="dxa" w:w="3168"/>
            <w:shd w:fill="ffffff"/>
            <w:tcMar>
              <w:top w:w="100" w:type="dxa"/>
              <w:bottom w:w="100" w:type="dxa"/>
              <w:left w:w="140" w:type="dxa"/>
              <w:right w:w="140" w:type="dxa"/>
            </w:tcMar>
          </w:tcPr>
          <w:p>
            <w:r>
              <w:rPr>
                <w:rFonts w:ascii="Arial" w:hAnsi="Arial"/>
                <w:color w:val="1E293B"/>
                <w:sz w:val="18"/>
              </w:rPr>
              <w:t>Automotive Service, Mechanical Repair, Tire Center</w:t>
            </w:r>
          </w:p>
        </w:tc>
        <w:tc>
          <w:tcPr>
            <w:tcW w:type="dxa" w:w="1008"/>
            <w:shd w:fill="ffffff"/>
            <w:tcMar>
              <w:top w:w="100" w:type="dxa"/>
              <w:bottom w:w="100" w:type="dxa"/>
              <w:left w:w="140" w:type="dxa"/>
              <w:right w:w="140" w:type="dxa"/>
            </w:tcMar>
          </w:tcPr>
          <w:p>
            <w:r>
              <w:rPr>
                <w:rFonts w:ascii="Arial" w:hAnsi="Arial"/>
                <w:color w:val="1E293B"/>
                <w:sz w:val="18"/>
              </w:rPr>
              <w:t>PHP (₱)</w:t>
            </w:r>
          </w:p>
        </w:tc>
      </w:tr>
      <w:tr>
        <w:tc>
          <w:tcPr>
            <w:tcW w:type="dxa" w:w="576"/>
            <w:shd w:fill="f8fafc"/>
            <w:tcMar>
              <w:top w:w="100" w:type="dxa"/>
              <w:bottom w:w="100" w:type="dxa"/>
              <w:left w:w="140" w:type="dxa"/>
              <w:right w:w="140" w:type="dxa"/>
            </w:tcMar>
          </w:tcPr>
          <w:p>
            <w:r>
              <w:rPr>
                <w:rFonts w:ascii="Arial" w:hAnsi="Arial"/>
                <w:color w:val="1E293B"/>
                <w:sz w:val="18"/>
              </w:rPr>
              <w:t>2</w:t>
            </w:r>
          </w:p>
        </w:tc>
        <w:tc>
          <w:tcPr>
            <w:tcW w:type="dxa" w:w="3168"/>
            <w:shd w:fill="f8fafc"/>
            <w:tcMar>
              <w:top w:w="100" w:type="dxa"/>
              <w:bottom w:w="100" w:type="dxa"/>
              <w:left w:w="140" w:type="dxa"/>
              <w:right w:w="140" w:type="dxa"/>
            </w:tcMar>
          </w:tcPr>
          <w:p>
            <w:r>
              <w:rPr>
                <w:rFonts w:ascii="Arial" w:hAnsi="Arial"/>
                <w:color w:val="1E293B"/>
                <w:sz w:val="18"/>
              </w:rPr>
              <w:t>Ultra MRF Dau Main</w:t>
            </w:r>
          </w:p>
        </w:tc>
        <w:tc>
          <w:tcPr>
            <w:tcW w:type="dxa" w:w="1440"/>
            <w:shd w:fill="f8fafc"/>
            <w:tcMar>
              <w:top w:w="100" w:type="dxa"/>
              <w:bottom w:w="100" w:type="dxa"/>
              <w:left w:w="140" w:type="dxa"/>
              <w:right w:w="140" w:type="dxa"/>
            </w:tcMar>
          </w:tcPr>
          <w:p>
            <w:r>
              <w:rPr>
                <w:rFonts w:ascii="Arial" w:hAnsi="Arial"/>
                <w:color w:val="1E293B"/>
                <w:sz w:val="18"/>
              </w:rPr>
              <w:t>UMDM</w:t>
            </w:r>
          </w:p>
        </w:tc>
        <w:tc>
          <w:tcPr>
            <w:tcW w:type="dxa" w:w="3168"/>
            <w:shd w:fill="f8fafc"/>
            <w:tcMar>
              <w:top w:w="100" w:type="dxa"/>
              <w:bottom w:w="100" w:type="dxa"/>
              <w:left w:w="140" w:type="dxa"/>
              <w:right w:w="140" w:type="dxa"/>
            </w:tcMar>
          </w:tcPr>
          <w:p>
            <w:r>
              <w:rPr>
                <w:rFonts w:ascii="Arial" w:hAnsi="Arial"/>
                <w:color w:val="1E293B"/>
                <w:sz w:val="18"/>
              </w:rPr>
              <w:t>Central Hub, Fleet Maintenance, Parts Wholesale</w:t>
            </w:r>
          </w:p>
        </w:tc>
        <w:tc>
          <w:tcPr>
            <w:tcW w:type="dxa" w:w="1008"/>
            <w:shd w:fill="f8fafc"/>
            <w:tcMar>
              <w:top w:w="100" w:type="dxa"/>
              <w:bottom w:w="100" w:type="dxa"/>
              <w:left w:w="140" w:type="dxa"/>
              <w:right w:w="140" w:type="dxa"/>
            </w:tcMar>
          </w:tcPr>
          <w:p>
            <w:r>
              <w:rPr>
                <w:rFonts w:ascii="Arial" w:hAnsi="Arial"/>
                <w:color w:val="1E293B"/>
                <w:sz w:val="18"/>
              </w:rPr>
              <w:t>PHP (₱)</w:t>
            </w:r>
          </w:p>
        </w:tc>
      </w:tr>
      <w:tr>
        <w:tc>
          <w:tcPr>
            <w:tcW w:type="dxa" w:w="576"/>
            <w:shd w:fill="ffffff"/>
            <w:tcMar>
              <w:top w:w="100" w:type="dxa"/>
              <w:bottom w:w="100" w:type="dxa"/>
              <w:left w:w="140" w:type="dxa"/>
              <w:right w:w="140" w:type="dxa"/>
            </w:tcMar>
          </w:tcPr>
          <w:p>
            <w:r>
              <w:rPr>
                <w:rFonts w:ascii="Arial" w:hAnsi="Arial"/>
                <w:color w:val="1E293B"/>
                <w:sz w:val="18"/>
              </w:rPr>
              <w:t>3</w:t>
            </w:r>
          </w:p>
        </w:tc>
        <w:tc>
          <w:tcPr>
            <w:tcW w:type="dxa" w:w="3168"/>
            <w:shd w:fill="ffffff"/>
            <w:tcMar>
              <w:top w:w="100" w:type="dxa"/>
              <w:bottom w:w="100" w:type="dxa"/>
              <w:left w:w="140" w:type="dxa"/>
              <w:right w:w="140" w:type="dxa"/>
            </w:tcMar>
          </w:tcPr>
          <w:p>
            <w:r>
              <w:rPr>
                <w:rFonts w:ascii="Arial" w:hAnsi="Arial"/>
                <w:color w:val="1E293B"/>
                <w:sz w:val="18"/>
              </w:rPr>
              <w:t>Ultra MRF San Fernando</w:t>
            </w:r>
          </w:p>
        </w:tc>
        <w:tc>
          <w:tcPr>
            <w:tcW w:type="dxa" w:w="1440"/>
            <w:shd w:fill="ffffff"/>
            <w:tcMar>
              <w:top w:w="100" w:type="dxa"/>
              <w:bottom w:w="100" w:type="dxa"/>
              <w:left w:w="140" w:type="dxa"/>
              <w:right w:w="140" w:type="dxa"/>
            </w:tcMar>
          </w:tcPr>
          <w:p>
            <w:r>
              <w:rPr>
                <w:rFonts w:ascii="Arial" w:hAnsi="Arial"/>
                <w:color w:val="1E293B"/>
                <w:sz w:val="18"/>
              </w:rPr>
              <w:t>UMSF</w:t>
            </w:r>
          </w:p>
        </w:tc>
        <w:tc>
          <w:tcPr>
            <w:tcW w:type="dxa" w:w="3168"/>
            <w:shd w:fill="ffffff"/>
            <w:tcMar>
              <w:top w:w="100" w:type="dxa"/>
              <w:bottom w:w="100" w:type="dxa"/>
              <w:left w:w="140" w:type="dxa"/>
              <w:right w:w="140" w:type="dxa"/>
            </w:tcMar>
          </w:tcPr>
          <w:p>
            <w:r>
              <w:rPr>
                <w:rFonts w:ascii="Arial" w:hAnsi="Arial"/>
                <w:color w:val="1E293B"/>
                <w:sz w:val="18"/>
              </w:rPr>
              <w:t>Branch Service Center &amp; Quick Lube Operations</w:t>
            </w:r>
          </w:p>
        </w:tc>
        <w:tc>
          <w:tcPr>
            <w:tcW w:type="dxa" w:w="1008"/>
            <w:shd w:fill="ffffff"/>
            <w:tcMar>
              <w:top w:w="100" w:type="dxa"/>
              <w:bottom w:w="100" w:type="dxa"/>
              <w:left w:w="140" w:type="dxa"/>
              <w:right w:w="140" w:type="dxa"/>
            </w:tcMar>
          </w:tcPr>
          <w:p>
            <w:r>
              <w:rPr>
                <w:rFonts w:ascii="Arial" w:hAnsi="Arial"/>
                <w:color w:val="1E293B"/>
                <w:sz w:val="18"/>
              </w:rPr>
              <w:t>PHP (₱)</w:t>
            </w:r>
          </w:p>
        </w:tc>
      </w:tr>
      <w:tr>
        <w:tc>
          <w:tcPr>
            <w:tcW w:type="dxa" w:w="576"/>
            <w:shd w:fill="f8fafc"/>
            <w:tcMar>
              <w:top w:w="100" w:type="dxa"/>
              <w:bottom w:w="100" w:type="dxa"/>
              <w:left w:w="140" w:type="dxa"/>
              <w:right w:w="140" w:type="dxa"/>
            </w:tcMar>
          </w:tcPr>
          <w:p>
            <w:r>
              <w:rPr>
                <w:rFonts w:ascii="Arial" w:hAnsi="Arial"/>
                <w:color w:val="1E293B"/>
                <w:sz w:val="18"/>
              </w:rPr>
              <w:t>4</w:t>
            </w:r>
          </w:p>
        </w:tc>
        <w:tc>
          <w:tcPr>
            <w:tcW w:type="dxa" w:w="3168"/>
            <w:shd w:fill="f8fafc"/>
            <w:tcMar>
              <w:top w:w="100" w:type="dxa"/>
              <w:bottom w:w="100" w:type="dxa"/>
              <w:left w:w="140" w:type="dxa"/>
              <w:right w:w="140" w:type="dxa"/>
            </w:tcMar>
          </w:tcPr>
          <w:p>
            <w:r>
              <w:rPr>
                <w:rFonts w:ascii="Arial" w:hAnsi="Arial"/>
                <w:color w:val="1E293B"/>
                <w:sz w:val="18"/>
              </w:rPr>
              <w:t>Ultra MRF Telebastagan</w:t>
            </w:r>
          </w:p>
        </w:tc>
        <w:tc>
          <w:tcPr>
            <w:tcW w:type="dxa" w:w="1440"/>
            <w:shd w:fill="f8fafc"/>
            <w:tcMar>
              <w:top w:w="100" w:type="dxa"/>
              <w:bottom w:w="100" w:type="dxa"/>
              <w:left w:w="140" w:type="dxa"/>
              <w:right w:w="140" w:type="dxa"/>
            </w:tcMar>
          </w:tcPr>
          <w:p>
            <w:r>
              <w:rPr>
                <w:rFonts w:ascii="Arial" w:hAnsi="Arial"/>
                <w:color w:val="1E293B"/>
                <w:sz w:val="18"/>
              </w:rPr>
              <w:t>UMTB</w:t>
            </w:r>
          </w:p>
        </w:tc>
        <w:tc>
          <w:tcPr>
            <w:tcW w:type="dxa" w:w="3168"/>
            <w:shd w:fill="f8fafc"/>
            <w:tcMar>
              <w:top w:w="100" w:type="dxa"/>
              <w:bottom w:w="100" w:type="dxa"/>
              <w:left w:w="140" w:type="dxa"/>
              <w:right w:w="140" w:type="dxa"/>
            </w:tcMar>
          </w:tcPr>
          <w:p>
            <w:r>
              <w:rPr>
                <w:rFonts w:ascii="Arial" w:hAnsi="Arial"/>
                <w:color w:val="1E293B"/>
                <w:sz w:val="18"/>
              </w:rPr>
              <w:t>Automotive Care, Tire Fitting, Alignment Center</w:t>
            </w:r>
          </w:p>
        </w:tc>
        <w:tc>
          <w:tcPr>
            <w:tcW w:type="dxa" w:w="1008"/>
            <w:shd w:fill="f8fafc"/>
            <w:tcMar>
              <w:top w:w="100" w:type="dxa"/>
              <w:bottom w:w="100" w:type="dxa"/>
              <w:left w:w="140" w:type="dxa"/>
              <w:right w:w="140" w:type="dxa"/>
            </w:tcMar>
          </w:tcPr>
          <w:p>
            <w:r>
              <w:rPr>
                <w:rFonts w:ascii="Arial" w:hAnsi="Arial"/>
                <w:color w:val="1E293B"/>
                <w:sz w:val="18"/>
              </w:rPr>
              <w:t>PHP (₱)</w:t>
            </w:r>
          </w:p>
        </w:tc>
      </w:tr>
      <w:tr>
        <w:tc>
          <w:tcPr>
            <w:tcW w:type="dxa" w:w="576"/>
            <w:shd w:fill="ffffff"/>
            <w:tcMar>
              <w:top w:w="100" w:type="dxa"/>
              <w:bottom w:w="100" w:type="dxa"/>
              <w:left w:w="140" w:type="dxa"/>
              <w:right w:w="140" w:type="dxa"/>
            </w:tcMar>
          </w:tcPr>
          <w:p>
            <w:r>
              <w:rPr>
                <w:rFonts w:ascii="Arial" w:hAnsi="Arial"/>
                <w:color w:val="1E293B"/>
                <w:sz w:val="18"/>
              </w:rPr>
              <w:t>5</w:t>
            </w:r>
          </w:p>
        </w:tc>
        <w:tc>
          <w:tcPr>
            <w:tcW w:type="dxa" w:w="3168"/>
            <w:shd w:fill="ffffff"/>
            <w:tcMar>
              <w:top w:w="100" w:type="dxa"/>
              <w:bottom w:w="100" w:type="dxa"/>
              <w:left w:w="140" w:type="dxa"/>
              <w:right w:w="140" w:type="dxa"/>
            </w:tcMar>
          </w:tcPr>
          <w:p>
            <w:r>
              <w:rPr>
                <w:rFonts w:ascii="Arial" w:hAnsi="Arial"/>
                <w:color w:val="1E293B"/>
                <w:sz w:val="18"/>
              </w:rPr>
              <w:t>Ultra MRF Telebastagan 2</w:t>
            </w:r>
          </w:p>
        </w:tc>
        <w:tc>
          <w:tcPr>
            <w:tcW w:type="dxa" w:w="1440"/>
            <w:shd w:fill="ffffff"/>
            <w:tcMar>
              <w:top w:w="100" w:type="dxa"/>
              <w:bottom w:w="100" w:type="dxa"/>
              <w:left w:w="140" w:type="dxa"/>
              <w:right w:w="140" w:type="dxa"/>
            </w:tcMar>
          </w:tcPr>
          <w:p>
            <w:r>
              <w:rPr>
                <w:rFonts w:ascii="Arial" w:hAnsi="Arial"/>
                <w:color w:val="1E293B"/>
                <w:sz w:val="18"/>
              </w:rPr>
              <w:t>UMT2</w:t>
            </w:r>
          </w:p>
        </w:tc>
        <w:tc>
          <w:tcPr>
            <w:tcW w:type="dxa" w:w="3168"/>
            <w:shd w:fill="ffffff"/>
            <w:tcMar>
              <w:top w:w="100" w:type="dxa"/>
              <w:bottom w:w="100" w:type="dxa"/>
              <w:left w:w="140" w:type="dxa"/>
              <w:right w:w="140" w:type="dxa"/>
            </w:tcMar>
          </w:tcPr>
          <w:p>
            <w:r>
              <w:rPr>
                <w:rFonts w:ascii="Arial" w:hAnsi="Arial"/>
                <w:color w:val="1E293B"/>
                <w:sz w:val="18"/>
              </w:rPr>
              <w:t>Commercial Vehicle &amp; Heavy Fleet Maintenance</w:t>
            </w:r>
          </w:p>
        </w:tc>
        <w:tc>
          <w:tcPr>
            <w:tcW w:type="dxa" w:w="1008"/>
            <w:shd w:fill="ffffff"/>
            <w:tcMar>
              <w:top w:w="100" w:type="dxa"/>
              <w:bottom w:w="100" w:type="dxa"/>
              <w:left w:w="140" w:type="dxa"/>
              <w:right w:w="140" w:type="dxa"/>
            </w:tcMar>
          </w:tcPr>
          <w:p>
            <w:r>
              <w:rPr>
                <w:rFonts w:ascii="Arial" w:hAnsi="Arial"/>
                <w:color w:val="1E293B"/>
                <w:sz w:val="18"/>
              </w:rPr>
              <w:t>PHP (₱)</w:t>
            </w:r>
          </w:p>
        </w:tc>
      </w:tr>
      <w:tr>
        <w:tc>
          <w:tcPr>
            <w:tcW w:type="dxa" w:w="576"/>
            <w:shd w:fill="f8fafc"/>
            <w:tcMar>
              <w:top w:w="100" w:type="dxa"/>
              <w:bottom w:w="100" w:type="dxa"/>
              <w:left w:w="140" w:type="dxa"/>
              <w:right w:w="140" w:type="dxa"/>
            </w:tcMar>
          </w:tcPr>
          <w:p>
            <w:r>
              <w:rPr>
                <w:rFonts w:ascii="Arial" w:hAnsi="Arial"/>
                <w:color w:val="1E293B"/>
                <w:sz w:val="18"/>
              </w:rPr>
              <w:t>6</w:t>
            </w:r>
          </w:p>
        </w:tc>
        <w:tc>
          <w:tcPr>
            <w:tcW w:type="dxa" w:w="3168"/>
            <w:shd w:fill="f8fafc"/>
            <w:tcMar>
              <w:top w:w="100" w:type="dxa"/>
              <w:bottom w:w="100" w:type="dxa"/>
              <w:left w:w="140" w:type="dxa"/>
              <w:right w:w="140" w:type="dxa"/>
            </w:tcMar>
          </w:tcPr>
          <w:p>
            <w:r>
              <w:rPr>
                <w:rFonts w:ascii="Arial" w:hAnsi="Arial"/>
                <w:color w:val="1E293B"/>
                <w:sz w:val="18"/>
              </w:rPr>
              <w:t>Ultra MRF Dau Annex</w:t>
            </w:r>
          </w:p>
        </w:tc>
        <w:tc>
          <w:tcPr>
            <w:tcW w:type="dxa" w:w="1440"/>
            <w:shd w:fill="f8fafc"/>
            <w:tcMar>
              <w:top w:w="100" w:type="dxa"/>
              <w:bottom w:w="100" w:type="dxa"/>
              <w:left w:w="140" w:type="dxa"/>
              <w:right w:w="140" w:type="dxa"/>
            </w:tcMar>
          </w:tcPr>
          <w:p>
            <w:r>
              <w:rPr>
                <w:rFonts w:ascii="Arial" w:hAnsi="Arial"/>
                <w:color w:val="1E293B"/>
                <w:sz w:val="18"/>
              </w:rPr>
              <w:t>UMDA</w:t>
            </w:r>
          </w:p>
        </w:tc>
        <w:tc>
          <w:tcPr>
            <w:tcW w:type="dxa" w:w="3168"/>
            <w:shd w:fill="f8fafc"/>
            <w:tcMar>
              <w:top w:w="100" w:type="dxa"/>
              <w:bottom w:w="100" w:type="dxa"/>
              <w:left w:w="140" w:type="dxa"/>
              <w:right w:w="140" w:type="dxa"/>
            </w:tcMar>
          </w:tcPr>
          <w:p>
            <w:r>
              <w:rPr>
                <w:rFonts w:ascii="Arial" w:hAnsi="Arial"/>
                <w:color w:val="1E293B"/>
                <w:sz w:val="18"/>
              </w:rPr>
              <w:t>Parts Warehousing &amp; Overflow Distribution</w:t>
            </w:r>
          </w:p>
        </w:tc>
        <w:tc>
          <w:tcPr>
            <w:tcW w:type="dxa" w:w="1008"/>
            <w:shd w:fill="f8fafc"/>
            <w:tcMar>
              <w:top w:w="100" w:type="dxa"/>
              <w:bottom w:w="100" w:type="dxa"/>
              <w:left w:w="140" w:type="dxa"/>
              <w:right w:w="140" w:type="dxa"/>
            </w:tcMar>
          </w:tcPr>
          <w:p>
            <w:r>
              <w:rPr>
                <w:rFonts w:ascii="Arial" w:hAnsi="Arial"/>
                <w:color w:val="1E293B"/>
                <w:sz w:val="18"/>
              </w:rPr>
              <w:t>PHP (₱)</w:t>
            </w:r>
          </w:p>
        </w:tc>
      </w:tr>
      <w:tr>
        <w:tc>
          <w:tcPr>
            <w:tcW w:type="dxa" w:w="576"/>
            <w:shd w:fill="ffffff"/>
            <w:tcMar>
              <w:top w:w="100" w:type="dxa"/>
              <w:bottom w:w="100" w:type="dxa"/>
              <w:left w:w="140" w:type="dxa"/>
              <w:right w:w="140" w:type="dxa"/>
            </w:tcMar>
          </w:tcPr>
          <w:p>
            <w:r>
              <w:rPr>
                <w:rFonts w:ascii="Arial" w:hAnsi="Arial"/>
                <w:color w:val="1E293B"/>
                <w:sz w:val="18"/>
              </w:rPr>
              <w:t>7</w:t>
            </w:r>
          </w:p>
        </w:tc>
        <w:tc>
          <w:tcPr>
            <w:tcW w:type="dxa" w:w="3168"/>
            <w:shd w:fill="ffffff"/>
            <w:tcMar>
              <w:top w:w="100" w:type="dxa"/>
              <w:bottom w:w="100" w:type="dxa"/>
              <w:left w:w="140" w:type="dxa"/>
              <w:right w:w="140" w:type="dxa"/>
            </w:tcMar>
          </w:tcPr>
          <w:p>
            <w:r>
              <w:rPr>
                <w:rFonts w:ascii="Arial" w:hAnsi="Arial"/>
                <w:color w:val="1E293B"/>
                <w:sz w:val="18"/>
              </w:rPr>
              <w:t>The Wheelhub</w:t>
            </w:r>
          </w:p>
        </w:tc>
        <w:tc>
          <w:tcPr>
            <w:tcW w:type="dxa" w:w="1440"/>
            <w:shd w:fill="ffffff"/>
            <w:tcMar>
              <w:top w:w="100" w:type="dxa"/>
              <w:bottom w:w="100" w:type="dxa"/>
              <w:left w:w="140" w:type="dxa"/>
              <w:right w:w="140" w:type="dxa"/>
            </w:tcMar>
          </w:tcPr>
          <w:p>
            <w:r>
              <w:rPr>
                <w:rFonts w:ascii="Arial" w:hAnsi="Arial"/>
                <w:color w:val="1E293B"/>
                <w:sz w:val="18"/>
              </w:rPr>
              <w:t>TWHB</w:t>
            </w:r>
          </w:p>
        </w:tc>
        <w:tc>
          <w:tcPr>
            <w:tcW w:type="dxa" w:w="3168"/>
            <w:shd w:fill="ffffff"/>
            <w:tcMar>
              <w:top w:w="100" w:type="dxa"/>
              <w:bottom w:w="100" w:type="dxa"/>
              <w:left w:w="140" w:type="dxa"/>
              <w:right w:w="140" w:type="dxa"/>
            </w:tcMar>
          </w:tcPr>
          <w:p>
            <w:r>
              <w:rPr>
                <w:rFonts w:ascii="Arial" w:hAnsi="Arial"/>
                <w:color w:val="1E293B"/>
                <w:sz w:val="18"/>
              </w:rPr>
              <w:t>Premium Wheel, Rim &amp; Specialty Tire Retail</w:t>
            </w:r>
          </w:p>
        </w:tc>
        <w:tc>
          <w:tcPr>
            <w:tcW w:type="dxa" w:w="1008"/>
            <w:shd w:fill="ffffff"/>
            <w:tcMar>
              <w:top w:w="100" w:type="dxa"/>
              <w:bottom w:w="100" w:type="dxa"/>
              <w:left w:w="140" w:type="dxa"/>
              <w:right w:w="140" w:type="dxa"/>
            </w:tcMar>
          </w:tcPr>
          <w:p>
            <w:r>
              <w:rPr>
                <w:rFonts w:ascii="Arial" w:hAnsi="Arial"/>
                <w:color w:val="1E293B"/>
                <w:sz w:val="18"/>
              </w:rPr>
              <w:t>PHP (₱)</w:t>
            </w:r>
          </w:p>
        </w:tc>
      </w:tr>
      <w:tr>
        <w:tc>
          <w:tcPr>
            <w:tcW w:type="dxa" w:w="576"/>
            <w:shd w:fill="f8fafc"/>
            <w:tcMar>
              <w:top w:w="100" w:type="dxa"/>
              <w:bottom w:w="100" w:type="dxa"/>
              <w:left w:w="140" w:type="dxa"/>
              <w:right w:w="140" w:type="dxa"/>
            </w:tcMar>
          </w:tcPr>
          <w:p>
            <w:r>
              <w:rPr>
                <w:rFonts w:ascii="Arial" w:hAnsi="Arial"/>
                <w:color w:val="1E293B"/>
                <w:sz w:val="18"/>
              </w:rPr>
              <w:t>8</w:t>
            </w:r>
          </w:p>
        </w:tc>
        <w:tc>
          <w:tcPr>
            <w:tcW w:type="dxa" w:w="3168"/>
            <w:shd w:fill="f8fafc"/>
            <w:tcMar>
              <w:top w:w="100" w:type="dxa"/>
              <w:bottom w:w="100" w:type="dxa"/>
              <w:left w:w="140" w:type="dxa"/>
              <w:right w:w="140" w:type="dxa"/>
            </w:tcMar>
          </w:tcPr>
          <w:p>
            <w:r>
              <w:rPr>
                <w:rFonts w:ascii="Arial" w:hAnsi="Arial"/>
                <w:color w:val="1E293B"/>
                <w:sz w:val="18"/>
              </w:rPr>
              <w:t>Wheel Core</w:t>
            </w:r>
          </w:p>
        </w:tc>
        <w:tc>
          <w:tcPr>
            <w:tcW w:type="dxa" w:w="1440"/>
            <w:shd w:fill="f8fafc"/>
            <w:tcMar>
              <w:top w:w="100" w:type="dxa"/>
              <w:bottom w:w="100" w:type="dxa"/>
              <w:left w:w="140" w:type="dxa"/>
              <w:right w:w="140" w:type="dxa"/>
            </w:tcMar>
          </w:tcPr>
          <w:p>
            <w:r>
              <w:rPr>
                <w:rFonts w:ascii="Arial" w:hAnsi="Arial"/>
                <w:color w:val="1E293B"/>
                <w:sz w:val="18"/>
              </w:rPr>
              <w:t>WCRL</w:t>
            </w:r>
          </w:p>
        </w:tc>
        <w:tc>
          <w:tcPr>
            <w:tcW w:type="dxa" w:w="3168"/>
            <w:shd w:fill="f8fafc"/>
            <w:tcMar>
              <w:top w:w="100" w:type="dxa"/>
              <w:bottom w:w="100" w:type="dxa"/>
              <w:left w:w="140" w:type="dxa"/>
              <w:right w:w="140" w:type="dxa"/>
            </w:tcMar>
          </w:tcPr>
          <w:p>
            <w:r>
              <w:rPr>
                <w:rFonts w:ascii="Arial" w:hAnsi="Arial"/>
                <w:color w:val="1E293B"/>
                <w:sz w:val="18"/>
              </w:rPr>
              <w:t>Wheel Distribution &amp; Wholesale Trading</w:t>
            </w:r>
          </w:p>
        </w:tc>
        <w:tc>
          <w:tcPr>
            <w:tcW w:type="dxa" w:w="1008"/>
            <w:shd w:fill="f8fafc"/>
            <w:tcMar>
              <w:top w:w="100" w:type="dxa"/>
              <w:bottom w:w="100" w:type="dxa"/>
              <w:left w:w="140" w:type="dxa"/>
              <w:right w:w="140" w:type="dxa"/>
            </w:tcMar>
          </w:tcPr>
          <w:p>
            <w:r>
              <w:rPr>
                <w:rFonts w:ascii="Arial" w:hAnsi="Arial"/>
                <w:color w:val="1E293B"/>
                <w:sz w:val="18"/>
              </w:rPr>
              <w:t>PHP (₱)</w:t>
            </w:r>
          </w:p>
        </w:tc>
      </w:tr>
      <w:tr>
        <w:tc>
          <w:tcPr>
            <w:tcW w:type="dxa" w:w="576"/>
            <w:shd w:fill="ffffff"/>
            <w:tcMar>
              <w:top w:w="100" w:type="dxa"/>
              <w:bottom w:w="100" w:type="dxa"/>
              <w:left w:w="140" w:type="dxa"/>
              <w:right w:w="140" w:type="dxa"/>
            </w:tcMar>
          </w:tcPr>
          <w:p>
            <w:r>
              <w:rPr>
                <w:rFonts w:ascii="Arial" w:hAnsi="Arial"/>
                <w:color w:val="1E293B"/>
                <w:sz w:val="18"/>
              </w:rPr>
              <w:t>9</w:t>
            </w:r>
          </w:p>
        </w:tc>
        <w:tc>
          <w:tcPr>
            <w:tcW w:type="dxa" w:w="3168"/>
            <w:shd w:fill="ffffff"/>
            <w:tcMar>
              <w:top w:w="100" w:type="dxa"/>
              <w:bottom w:w="100" w:type="dxa"/>
              <w:left w:w="140" w:type="dxa"/>
              <w:right w:w="140" w:type="dxa"/>
            </w:tcMar>
          </w:tcPr>
          <w:p>
            <w:r>
              <w:rPr>
                <w:rFonts w:ascii="Arial" w:hAnsi="Arial"/>
                <w:color w:val="1E293B"/>
                <w:sz w:val="18"/>
              </w:rPr>
              <w:t>Ultra MRF</w:t>
            </w:r>
          </w:p>
        </w:tc>
        <w:tc>
          <w:tcPr>
            <w:tcW w:type="dxa" w:w="1440"/>
            <w:shd w:fill="ffffff"/>
            <w:tcMar>
              <w:top w:w="100" w:type="dxa"/>
              <w:bottom w:w="100" w:type="dxa"/>
              <w:left w:w="140" w:type="dxa"/>
              <w:right w:w="140" w:type="dxa"/>
            </w:tcMar>
          </w:tcPr>
          <w:p>
            <w:r>
              <w:rPr>
                <w:rFonts w:ascii="Arial" w:hAnsi="Arial"/>
                <w:color w:val="1E293B"/>
                <w:sz w:val="18"/>
              </w:rPr>
              <w:t>UMRF</w:t>
            </w:r>
          </w:p>
        </w:tc>
        <w:tc>
          <w:tcPr>
            <w:tcW w:type="dxa" w:w="3168"/>
            <w:shd w:fill="ffffff"/>
            <w:tcMar>
              <w:top w:w="100" w:type="dxa"/>
              <w:bottom w:w="100" w:type="dxa"/>
              <w:left w:w="140" w:type="dxa"/>
              <w:right w:w="140" w:type="dxa"/>
            </w:tcMar>
          </w:tcPr>
          <w:p>
            <w:r>
              <w:rPr>
                <w:rFonts w:ascii="Arial" w:hAnsi="Arial"/>
                <w:color w:val="1E293B"/>
                <w:sz w:val="18"/>
              </w:rPr>
              <w:t>Holding &amp; Corporate Management Entity</w:t>
            </w:r>
          </w:p>
        </w:tc>
        <w:tc>
          <w:tcPr>
            <w:tcW w:type="dxa" w:w="1008"/>
            <w:shd w:fill="ffffff"/>
            <w:tcMar>
              <w:top w:w="100" w:type="dxa"/>
              <w:bottom w:w="100" w:type="dxa"/>
              <w:left w:w="140" w:type="dxa"/>
              <w:right w:w="140" w:type="dxa"/>
            </w:tcMar>
          </w:tcPr>
          <w:p>
            <w:r>
              <w:rPr>
                <w:rFonts w:ascii="Arial" w:hAnsi="Arial"/>
                <w:color w:val="1E293B"/>
                <w:sz w:val="18"/>
              </w:rPr>
              <w:t>PHP (₱)</w:t>
            </w:r>
          </w:p>
        </w:tc>
      </w:tr>
      <w:tr>
        <w:tc>
          <w:tcPr>
            <w:tcW w:type="dxa" w:w="576"/>
            <w:shd w:fill="f8fafc"/>
            <w:tcMar>
              <w:top w:w="100" w:type="dxa"/>
              <w:bottom w:w="100" w:type="dxa"/>
              <w:left w:w="140" w:type="dxa"/>
              <w:right w:w="140" w:type="dxa"/>
            </w:tcMar>
          </w:tcPr>
          <w:p>
            <w:r>
              <w:rPr>
                <w:rFonts w:ascii="Arial" w:hAnsi="Arial"/>
                <w:color w:val="1E293B"/>
                <w:sz w:val="18"/>
              </w:rPr>
              <w:t>10</w:t>
            </w:r>
          </w:p>
        </w:tc>
        <w:tc>
          <w:tcPr>
            <w:tcW w:type="dxa" w:w="3168"/>
            <w:shd w:fill="f8fafc"/>
            <w:tcMar>
              <w:top w:w="100" w:type="dxa"/>
              <w:bottom w:w="100" w:type="dxa"/>
              <w:left w:w="140" w:type="dxa"/>
              <w:right w:w="140" w:type="dxa"/>
            </w:tcMar>
          </w:tcPr>
          <w:p>
            <w:r>
              <w:rPr>
                <w:rFonts w:ascii="Arial" w:hAnsi="Arial"/>
                <w:color w:val="1E293B"/>
                <w:sz w:val="18"/>
              </w:rPr>
              <w:t>Ultra MRF Warehouse Dau</w:t>
            </w:r>
          </w:p>
        </w:tc>
        <w:tc>
          <w:tcPr>
            <w:tcW w:type="dxa" w:w="1440"/>
            <w:shd w:fill="f8fafc"/>
            <w:tcMar>
              <w:top w:w="100" w:type="dxa"/>
              <w:bottom w:w="100" w:type="dxa"/>
              <w:left w:w="140" w:type="dxa"/>
              <w:right w:w="140" w:type="dxa"/>
            </w:tcMar>
          </w:tcPr>
          <w:p>
            <w:r>
              <w:rPr>
                <w:rFonts w:ascii="Arial" w:hAnsi="Arial"/>
                <w:color w:val="1E293B"/>
                <w:sz w:val="18"/>
              </w:rPr>
              <w:t>UMWD</w:t>
            </w:r>
          </w:p>
        </w:tc>
        <w:tc>
          <w:tcPr>
            <w:tcW w:type="dxa" w:w="3168"/>
            <w:shd w:fill="f8fafc"/>
            <w:tcMar>
              <w:top w:w="100" w:type="dxa"/>
              <w:bottom w:w="100" w:type="dxa"/>
              <w:left w:w="140" w:type="dxa"/>
              <w:right w:w="140" w:type="dxa"/>
            </w:tcMar>
          </w:tcPr>
          <w:p>
            <w:r>
              <w:rPr>
                <w:rFonts w:ascii="Arial" w:hAnsi="Arial"/>
                <w:color w:val="1E293B"/>
                <w:sz w:val="18"/>
              </w:rPr>
              <w:t>Central Logistics &amp; Regional Part Depot</w:t>
            </w:r>
          </w:p>
        </w:tc>
        <w:tc>
          <w:tcPr>
            <w:tcW w:type="dxa" w:w="1008"/>
            <w:shd w:fill="f8fafc"/>
            <w:tcMar>
              <w:top w:w="100" w:type="dxa"/>
              <w:bottom w:w="100" w:type="dxa"/>
              <w:left w:w="140" w:type="dxa"/>
              <w:right w:w="140" w:type="dxa"/>
            </w:tcMar>
          </w:tcPr>
          <w:p>
            <w:r>
              <w:rPr>
                <w:rFonts w:ascii="Arial" w:hAnsi="Arial"/>
                <w:color w:val="1E293B"/>
                <w:sz w:val="18"/>
              </w:rPr>
              <w:t>PHP (₱)</w:t>
            </w:r>
          </w:p>
        </w:tc>
      </w:tr>
      <w:tr>
        <w:tc>
          <w:tcPr>
            <w:tcW w:type="dxa" w:w="576"/>
            <w:shd w:fill="ffffff"/>
            <w:tcMar>
              <w:top w:w="100" w:type="dxa"/>
              <w:bottom w:w="100" w:type="dxa"/>
              <w:left w:w="140" w:type="dxa"/>
              <w:right w:w="140" w:type="dxa"/>
            </w:tcMar>
          </w:tcPr>
          <w:p>
            <w:r>
              <w:rPr>
                <w:rFonts w:ascii="Arial" w:hAnsi="Arial"/>
                <w:color w:val="1E293B"/>
                <w:sz w:val="18"/>
              </w:rPr>
              <w:t>11</w:t>
            </w:r>
          </w:p>
        </w:tc>
        <w:tc>
          <w:tcPr>
            <w:tcW w:type="dxa" w:w="3168"/>
            <w:shd w:fill="ffffff"/>
            <w:tcMar>
              <w:top w:w="100" w:type="dxa"/>
              <w:bottom w:w="100" w:type="dxa"/>
              <w:left w:w="140" w:type="dxa"/>
              <w:right w:w="140" w:type="dxa"/>
            </w:tcMar>
          </w:tcPr>
          <w:p>
            <w:r>
              <w:rPr>
                <w:rFonts w:ascii="Arial" w:hAnsi="Arial"/>
                <w:color w:val="1E293B"/>
                <w:sz w:val="18"/>
              </w:rPr>
              <w:t>Ultra MRF Mexico Warehouse</w:t>
            </w:r>
          </w:p>
        </w:tc>
        <w:tc>
          <w:tcPr>
            <w:tcW w:type="dxa" w:w="1440"/>
            <w:shd w:fill="ffffff"/>
            <w:tcMar>
              <w:top w:w="100" w:type="dxa"/>
              <w:bottom w:w="100" w:type="dxa"/>
              <w:left w:w="140" w:type="dxa"/>
              <w:right w:w="140" w:type="dxa"/>
            </w:tcMar>
          </w:tcPr>
          <w:p>
            <w:r>
              <w:rPr>
                <w:rFonts w:ascii="Arial" w:hAnsi="Arial"/>
                <w:color w:val="1E293B"/>
                <w:sz w:val="18"/>
              </w:rPr>
              <w:t>UMMW</w:t>
            </w:r>
          </w:p>
        </w:tc>
        <w:tc>
          <w:tcPr>
            <w:tcW w:type="dxa" w:w="3168"/>
            <w:shd w:fill="ffffff"/>
            <w:tcMar>
              <w:top w:w="100" w:type="dxa"/>
              <w:bottom w:w="100" w:type="dxa"/>
              <w:left w:w="140" w:type="dxa"/>
              <w:right w:w="140" w:type="dxa"/>
            </w:tcMar>
          </w:tcPr>
          <w:p>
            <w:r>
              <w:rPr>
                <w:rFonts w:ascii="Arial" w:hAnsi="Arial"/>
                <w:color w:val="1E293B"/>
                <w:sz w:val="18"/>
              </w:rPr>
              <w:t>Bulk Tire, Lubricant &amp; Battery Storage</w:t>
            </w:r>
          </w:p>
        </w:tc>
        <w:tc>
          <w:tcPr>
            <w:tcW w:type="dxa" w:w="1008"/>
            <w:shd w:fill="ffffff"/>
            <w:tcMar>
              <w:top w:w="100" w:type="dxa"/>
              <w:bottom w:w="100" w:type="dxa"/>
              <w:left w:w="140" w:type="dxa"/>
              <w:right w:w="140" w:type="dxa"/>
            </w:tcMar>
          </w:tcPr>
          <w:p>
            <w:r>
              <w:rPr>
                <w:rFonts w:ascii="Arial" w:hAnsi="Arial"/>
                <w:color w:val="1E293B"/>
                <w:sz w:val="18"/>
              </w:rPr>
              <w:t>PHP (₱)</w:t>
            </w:r>
          </w:p>
        </w:tc>
      </w:tr>
      <w:tr>
        <w:tc>
          <w:tcPr>
            <w:tcW w:type="dxa" w:w="576"/>
            <w:shd w:fill="f8fafc"/>
            <w:tcMar>
              <w:top w:w="100" w:type="dxa"/>
              <w:bottom w:w="100" w:type="dxa"/>
              <w:left w:w="140" w:type="dxa"/>
              <w:right w:w="140" w:type="dxa"/>
            </w:tcMar>
          </w:tcPr>
          <w:p>
            <w:r>
              <w:rPr>
                <w:rFonts w:ascii="Arial" w:hAnsi="Arial"/>
                <w:color w:val="1E293B"/>
                <w:sz w:val="18"/>
              </w:rPr>
              <w:t>12</w:t>
            </w:r>
          </w:p>
        </w:tc>
        <w:tc>
          <w:tcPr>
            <w:tcW w:type="dxa" w:w="3168"/>
            <w:shd w:fill="f8fafc"/>
            <w:tcMar>
              <w:top w:w="100" w:type="dxa"/>
              <w:bottom w:w="100" w:type="dxa"/>
              <w:left w:w="140" w:type="dxa"/>
              <w:right w:w="140" w:type="dxa"/>
            </w:tcMar>
          </w:tcPr>
          <w:p>
            <w:r>
              <w:rPr>
                <w:rFonts w:ascii="Arial" w:hAnsi="Arial"/>
                <w:color w:val="1E293B"/>
                <w:sz w:val="18"/>
              </w:rPr>
              <w:t>San Fernando Warehouse</w:t>
            </w:r>
          </w:p>
        </w:tc>
        <w:tc>
          <w:tcPr>
            <w:tcW w:type="dxa" w:w="1440"/>
            <w:shd w:fill="f8fafc"/>
            <w:tcMar>
              <w:top w:w="100" w:type="dxa"/>
              <w:bottom w:w="100" w:type="dxa"/>
              <w:left w:w="140" w:type="dxa"/>
              <w:right w:w="140" w:type="dxa"/>
            </w:tcMar>
          </w:tcPr>
          <w:p>
            <w:r>
              <w:rPr>
                <w:rFonts w:ascii="Arial" w:hAnsi="Arial"/>
                <w:color w:val="1E293B"/>
                <w:sz w:val="18"/>
              </w:rPr>
              <w:t>SFWH</w:t>
            </w:r>
          </w:p>
        </w:tc>
        <w:tc>
          <w:tcPr>
            <w:tcW w:type="dxa" w:w="3168"/>
            <w:shd w:fill="f8fafc"/>
            <w:tcMar>
              <w:top w:w="100" w:type="dxa"/>
              <w:bottom w:w="100" w:type="dxa"/>
              <w:left w:w="140" w:type="dxa"/>
              <w:right w:w="140" w:type="dxa"/>
            </w:tcMar>
          </w:tcPr>
          <w:p>
            <w:r>
              <w:rPr>
                <w:rFonts w:ascii="Arial" w:hAnsi="Arial"/>
                <w:color w:val="1E293B"/>
                <w:sz w:val="18"/>
              </w:rPr>
              <w:t>Regional Warehouse &amp; Subcontracting Depot</w:t>
            </w:r>
          </w:p>
        </w:tc>
        <w:tc>
          <w:tcPr>
            <w:tcW w:type="dxa" w:w="1008"/>
            <w:shd w:fill="f8fafc"/>
            <w:tcMar>
              <w:top w:w="100" w:type="dxa"/>
              <w:bottom w:w="100" w:type="dxa"/>
              <w:left w:w="140" w:type="dxa"/>
              <w:right w:w="140" w:type="dxa"/>
            </w:tcMar>
          </w:tcPr>
          <w:p>
            <w:r>
              <w:rPr>
                <w:rFonts w:ascii="Arial" w:hAnsi="Arial"/>
                <w:color w:val="1E293B"/>
                <w:sz w:val="18"/>
              </w:rPr>
              <w:t>PHP (₱)</w:t>
            </w:r>
          </w:p>
        </w:tc>
      </w:tr>
      <w:tr>
        <w:tc>
          <w:tcPr>
            <w:tcW w:type="dxa" w:w="576"/>
            <w:shd w:fill="ffffff"/>
            <w:tcMar>
              <w:top w:w="100" w:type="dxa"/>
              <w:bottom w:w="100" w:type="dxa"/>
              <w:left w:w="140" w:type="dxa"/>
              <w:right w:w="140" w:type="dxa"/>
            </w:tcMar>
          </w:tcPr>
          <w:p>
            <w:r>
              <w:rPr>
                <w:rFonts w:ascii="Arial" w:hAnsi="Arial"/>
                <w:color w:val="1E293B"/>
                <w:sz w:val="18"/>
              </w:rPr>
              <w:t>13</w:t>
            </w:r>
          </w:p>
        </w:tc>
        <w:tc>
          <w:tcPr>
            <w:tcW w:type="dxa" w:w="3168"/>
            <w:shd w:fill="ffffff"/>
            <w:tcMar>
              <w:top w:w="100" w:type="dxa"/>
              <w:bottom w:w="100" w:type="dxa"/>
              <w:left w:w="140" w:type="dxa"/>
              <w:right w:w="140" w:type="dxa"/>
            </w:tcMar>
          </w:tcPr>
          <w:p>
            <w:r>
              <w:rPr>
                <w:rFonts w:ascii="Arial" w:hAnsi="Arial"/>
                <w:color w:val="1E293B"/>
                <w:sz w:val="18"/>
              </w:rPr>
              <w:t>ULTRA MRF Group (Consolidated)</w:t>
            </w:r>
          </w:p>
        </w:tc>
        <w:tc>
          <w:tcPr>
            <w:tcW w:type="dxa" w:w="1440"/>
            <w:shd w:fill="ffffff"/>
            <w:tcMar>
              <w:top w:w="100" w:type="dxa"/>
              <w:bottom w:w="100" w:type="dxa"/>
              <w:left w:w="140" w:type="dxa"/>
              <w:right w:w="140" w:type="dxa"/>
            </w:tcMar>
          </w:tcPr>
          <w:p>
            <w:r>
              <w:rPr>
                <w:rFonts w:ascii="Arial" w:hAnsi="Arial"/>
                <w:color w:val="1E293B"/>
                <w:sz w:val="18"/>
              </w:rPr>
              <w:t>UMGC</w:t>
            </w:r>
          </w:p>
        </w:tc>
        <w:tc>
          <w:tcPr>
            <w:tcW w:type="dxa" w:w="3168"/>
            <w:shd w:fill="ffffff"/>
            <w:tcMar>
              <w:top w:w="100" w:type="dxa"/>
              <w:bottom w:w="100" w:type="dxa"/>
              <w:left w:w="140" w:type="dxa"/>
              <w:right w:w="140" w:type="dxa"/>
            </w:tcMar>
          </w:tcPr>
          <w:p>
            <w:r>
              <w:rPr>
                <w:rFonts w:ascii="Arial" w:hAnsi="Arial"/>
                <w:color w:val="1E293B"/>
                <w:sz w:val="18"/>
              </w:rPr>
              <w:t>Virtual Top-Level Consolidated Reporting Entity</w:t>
            </w:r>
          </w:p>
        </w:tc>
        <w:tc>
          <w:tcPr>
            <w:tcW w:type="dxa" w:w="1008"/>
            <w:shd w:fill="ffffff"/>
            <w:tcMar>
              <w:top w:w="100" w:type="dxa"/>
              <w:bottom w:w="100" w:type="dxa"/>
              <w:left w:w="140" w:type="dxa"/>
              <w:right w:w="140" w:type="dxa"/>
            </w:tcMar>
          </w:tcPr>
          <w:p>
            <w:r>
              <w:rPr>
                <w:rFonts w:ascii="Arial" w:hAnsi="Arial"/>
                <w:color w:val="1E293B"/>
                <w:sz w:val="18"/>
              </w:rPr>
              <w:t>PHP (₱)</w:t>
            </w:r>
          </w:p>
        </w:tc>
      </w:tr>
    </w:tbl>
    <w:p/>
    <w:p>
      <w:r>
        <w:br w:type="page"/>
      </w:r>
    </w:p>
    <w:p>
      <w:pPr>
        <w:pStyle w:val="Heading1"/>
      </w:pPr>
      <w:r>
        <w:t>3. ABBREVIATIONS &amp; ENTERPRISE GLOSSARY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0f172a"/>
            <w:tcMar>
              <w:top w:w="140" w:type="dxa"/>
              <w:bottom w:w="140" w:type="dxa"/>
              <w:left w:w="160" w:type="dxa"/>
              <w:right w:w="160" w:type="dxa"/>
            </w:tcMar>
          </w:tcPr>
          <w:p>
            <w:pPr>
              <w:jc w:val="left"/>
            </w:pPr>
            <w:r>
              <w:rPr>
                <w:rFonts w:ascii="Arial" w:hAnsi="Arial"/>
                <w:b/>
                <w:color w:val="FFFFFF"/>
                <w:sz w:val="19"/>
              </w:rPr>
              <w:t>Abbreviation</w:t>
            </w:r>
          </w:p>
        </w:tc>
        <w:tc>
          <w:tcPr>
            <w:tcW w:type="dxa" w:w="3024"/>
            <w:shd w:fill="0f172a"/>
            <w:tcMar>
              <w:top w:w="140" w:type="dxa"/>
              <w:bottom w:w="140" w:type="dxa"/>
              <w:left w:w="160" w:type="dxa"/>
              <w:right w:w="160" w:type="dxa"/>
            </w:tcMar>
          </w:tcPr>
          <w:p>
            <w:pPr>
              <w:jc w:val="left"/>
            </w:pPr>
            <w:r>
              <w:rPr>
                <w:rFonts w:ascii="Arial" w:hAnsi="Arial"/>
                <w:b/>
                <w:color w:val="FFFFFF"/>
                <w:sz w:val="19"/>
              </w:rPr>
              <w:t>Definition / Expansion</w:t>
            </w:r>
          </w:p>
        </w:tc>
        <w:tc>
          <w:tcPr>
            <w:tcW w:type="dxa" w:w="1584"/>
            <w:shd w:fill="0f172a"/>
            <w:tcMar>
              <w:top w:w="140" w:type="dxa"/>
              <w:bottom w:w="140" w:type="dxa"/>
              <w:left w:w="160" w:type="dxa"/>
              <w:right w:w="160" w:type="dxa"/>
            </w:tcMar>
          </w:tcPr>
          <w:p>
            <w:pPr>
              <w:jc w:val="left"/>
            </w:pPr>
            <w:r>
              <w:rPr>
                <w:rFonts w:ascii="Arial" w:hAnsi="Arial"/>
                <w:b/>
                <w:color w:val="FFFFFF"/>
                <w:sz w:val="19"/>
              </w:rPr>
              <w:t>Abbreviation</w:t>
            </w:r>
          </w:p>
        </w:tc>
        <w:tc>
          <w:tcPr>
            <w:tcW w:type="dxa" w:w="3168"/>
            <w:shd w:fill="0f172a"/>
            <w:tcMar>
              <w:top w:w="140" w:type="dxa"/>
              <w:bottom w:w="140" w:type="dxa"/>
              <w:left w:w="160" w:type="dxa"/>
              <w:right w:w="160" w:type="dxa"/>
            </w:tcMar>
          </w:tcPr>
          <w:p>
            <w:pPr>
              <w:jc w:val="left"/>
            </w:pPr>
            <w:r>
              <w:rPr>
                <w:rFonts w:ascii="Arial" w:hAnsi="Arial"/>
                <w:b/>
                <w:color w:val="FFFFFF"/>
                <w:sz w:val="19"/>
              </w:rPr>
              <w:t>Definition / Expansion</w:t>
            </w:r>
          </w:p>
        </w:tc>
      </w:tr>
      <w:tr>
        <w:tc>
          <w:tcPr>
            <w:tcW w:type="dxa" w:w="1584"/>
            <w:shd w:fill="ffffff"/>
            <w:tcMar>
              <w:top w:w="100" w:type="dxa"/>
              <w:bottom w:w="100" w:type="dxa"/>
              <w:left w:w="140" w:type="dxa"/>
              <w:right w:w="140" w:type="dxa"/>
            </w:tcMar>
          </w:tcPr>
          <w:p>
            <w:r>
              <w:rPr>
                <w:rFonts w:ascii="Arial" w:hAnsi="Arial"/>
                <w:color w:val="1E293B"/>
                <w:sz w:val="18"/>
              </w:rPr>
              <w:t>VMS</w:t>
            </w:r>
          </w:p>
        </w:tc>
        <w:tc>
          <w:tcPr>
            <w:tcW w:type="dxa" w:w="3024"/>
            <w:shd w:fill="ffffff"/>
            <w:tcMar>
              <w:top w:w="100" w:type="dxa"/>
              <w:bottom w:w="100" w:type="dxa"/>
              <w:left w:w="140" w:type="dxa"/>
              <w:right w:w="140" w:type="dxa"/>
            </w:tcMar>
          </w:tcPr>
          <w:p>
            <w:r>
              <w:rPr>
                <w:rFonts w:ascii="Arial" w:hAnsi="Arial"/>
                <w:color w:val="1E293B"/>
                <w:sz w:val="18"/>
              </w:rPr>
              <w:t>Vehicle Management System</w:t>
            </w:r>
          </w:p>
        </w:tc>
        <w:tc>
          <w:tcPr>
            <w:tcW w:type="dxa" w:w="1584"/>
            <w:shd w:fill="ffffff"/>
            <w:tcMar>
              <w:top w:w="100" w:type="dxa"/>
              <w:bottom w:w="100" w:type="dxa"/>
              <w:left w:w="140" w:type="dxa"/>
              <w:right w:w="140" w:type="dxa"/>
            </w:tcMar>
          </w:tcPr>
          <w:p>
            <w:r>
              <w:rPr>
                <w:rFonts w:ascii="Arial" w:hAnsi="Arial"/>
                <w:color w:val="1E293B"/>
                <w:sz w:val="18"/>
              </w:rPr>
              <w:t>VJO</w:t>
            </w:r>
          </w:p>
        </w:tc>
        <w:tc>
          <w:tcPr>
            <w:tcW w:type="dxa" w:w="3168"/>
            <w:shd w:fill="ffffff"/>
            <w:tcMar>
              <w:top w:w="100" w:type="dxa"/>
              <w:bottom w:w="100" w:type="dxa"/>
              <w:left w:w="140" w:type="dxa"/>
              <w:right w:w="140" w:type="dxa"/>
            </w:tcMar>
          </w:tcPr>
          <w:p>
            <w:r>
              <w:rPr>
                <w:rFonts w:ascii="Arial" w:hAnsi="Arial"/>
                <w:color w:val="1E293B"/>
                <w:sz w:val="18"/>
              </w:rPr>
              <w:t>Vehicle Job Order</w:t>
            </w:r>
          </w:p>
        </w:tc>
      </w:tr>
      <w:tr>
        <w:tc>
          <w:tcPr>
            <w:tcW w:type="dxa" w:w="1584"/>
            <w:shd w:fill="f8fafc"/>
            <w:tcMar>
              <w:top w:w="100" w:type="dxa"/>
              <w:bottom w:w="100" w:type="dxa"/>
              <w:left w:w="140" w:type="dxa"/>
              <w:right w:w="140" w:type="dxa"/>
            </w:tcMar>
          </w:tcPr>
          <w:p>
            <w:r>
              <w:rPr>
                <w:rFonts w:ascii="Arial" w:hAnsi="Arial"/>
                <w:color w:val="1E293B"/>
                <w:sz w:val="18"/>
              </w:rPr>
              <w:t>VE</w:t>
            </w:r>
          </w:p>
        </w:tc>
        <w:tc>
          <w:tcPr>
            <w:tcW w:type="dxa" w:w="3024"/>
            <w:shd w:fill="f8fafc"/>
            <w:tcMar>
              <w:top w:w="100" w:type="dxa"/>
              <w:bottom w:w="100" w:type="dxa"/>
              <w:left w:w="140" w:type="dxa"/>
              <w:right w:w="140" w:type="dxa"/>
            </w:tcMar>
          </w:tcPr>
          <w:p>
            <w:r>
              <w:rPr>
                <w:rFonts w:ascii="Arial" w:hAnsi="Arial"/>
                <w:color w:val="1E293B"/>
                <w:sz w:val="18"/>
              </w:rPr>
              <w:t>Vehicle Estimate</w:t>
            </w:r>
          </w:p>
        </w:tc>
        <w:tc>
          <w:tcPr>
            <w:tcW w:type="dxa" w:w="1584"/>
            <w:shd w:fill="f8fafc"/>
            <w:tcMar>
              <w:top w:w="100" w:type="dxa"/>
              <w:bottom w:w="100" w:type="dxa"/>
              <w:left w:w="140" w:type="dxa"/>
              <w:right w:w="140" w:type="dxa"/>
            </w:tcMar>
          </w:tcPr>
          <w:p>
            <w:r>
              <w:rPr>
                <w:rFonts w:ascii="Arial" w:hAnsi="Arial"/>
                <w:color w:val="1E293B"/>
                <w:sz w:val="18"/>
              </w:rPr>
              <w:t>VI</w:t>
            </w:r>
          </w:p>
        </w:tc>
        <w:tc>
          <w:tcPr>
            <w:tcW w:type="dxa" w:w="3168"/>
            <w:shd w:fill="f8fafc"/>
            <w:tcMar>
              <w:top w:w="100" w:type="dxa"/>
              <w:bottom w:w="100" w:type="dxa"/>
              <w:left w:w="140" w:type="dxa"/>
              <w:right w:w="140" w:type="dxa"/>
            </w:tcMar>
          </w:tcPr>
          <w:p>
            <w:r>
              <w:rPr>
                <w:rFonts w:ascii="Arial" w:hAnsi="Arial"/>
                <w:color w:val="1E293B"/>
                <w:sz w:val="18"/>
              </w:rPr>
              <w:t>Vehicle Inspection</w:t>
            </w:r>
          </w:p>
        </w:tc>
      </w:tr>
      <w:tr>
        <w:tc>
          <w:tcPr>
            <w:tcW w:type="dxa" w:w="1584"/>
            <w:shd w:fill="ffffff"/>
            <w:tcMar>
              <w:top w:w="100" w:type="dxa"/>
              <w:bottom w:w="100" w:type="dxa"/>
              <w:left w:w="140" w:type="dxa"/>
              <w:right w:w="140" w:type="dxa"/>
            </w:tcMar>
          </w:tcPr>
          <w:p>
            <w:r>
              <w:rPr>
                <w:rFonts w:ascii="Arial" w:hAnsi="Arial"/>
                <w:color w:val="1E293B"/>
                <w:sz w:val="18"/>
              </w:rPr>
              <w:t>VIN</w:t>
            </w:r>
          </w:p>
        </w:tc>
        <w:tc>
          <w:tcPr>
            <w:tcW w:type="dxa" w:w="3024"/>
            <w:shd w:fill="ffffff"/>
            <w:tcMar>
              <w:top w:w="100" w:type="dxa"/>
              <w:bottom w:w="100" w:type="dxa"/>
              <w:left w:w="140" w:type="dxa"/>
              <w:right w:w="140" w:type="dxa"/>
            </w:tcMar>
          </w:tcPr>
          <w:p>
            <w:r>
              <w:rPr>
                <w:rFonts w:ascii="Arial" w:hAnsi="Arial"/>
                <w:color w:val="1E293B"/>
                <w:sz w:val="18"/>
              </w:rPr>
              <w:t>Vehicle Identification Number</w:t>
            </w:r>
          </w:p>
        </w:tc>
        <w:tc>
          <w:tcPr>
            <w:tcW w:type="dxa" w:w="1584"/>
            <w:shd w:fill="ffffff"/>
            <w:tcMar>
              <w:top w:w="100" w:type="dxa"/>
              <w:bottom w:w="100" w:type="dxa"/>
              <w:left w:w="140" w:type="dxa"/>
              <w:right w:w="140" w:type="dxa"/>
            </w:tcMar>
          </w:tcPr>
          <w:p>
            <w:r>
              <w:rPr>
                <w:rFonts w:ascii="Arial" w:hAnsi="Arial"/>
                <w:color w:val="1E293B"/>
                <w:sz w:val="18"/>
              </w:rPr>
              <w:t>POS</w:t>
            </w:r>
          </w:p>
        </w:tc>
        <w:tc>
          <w:tcPr>
            <w:tcW w:type="dxa" w:w="3168"/>
            <w:shd w:fill="ffffff"/>
            <w:tcMar>
              <w:top w:w="100" w:type="dxa"/>
              <w:bottom w:w="100" w:type="dxa"/>
              <w:left w:w="140" w:type="dxa"/>
              <w:right w:w="140" w:type="dxa"/>
            </w:tcMar>
          </w:tcPr>
          <w:p>
            <w:r>
              <w:rPr>
                <w:rFonts w:ascii="Arial" w:hAnsi="Arial"/>
                <w:color w:val="1E293B"/>
                <w:sz w:val="18"/>
              </w:rPr>
              <w:t>Point of Sale</w:t>
            </w:r>
          </w:p>
        </w:tc>
      </w:tr>
      <w:tr>
        <w:tc>
          <w:tcPr>
            <w:tcW w:type="dxa" w:w="1584"/>
            <w:shd w:fill="f8fafc"/>
            <w:tcMar>
              <w:top w:w="100" w:type="dxa"/>
              <w:bottom w:w="100" w:type="dxa"/>
              <w:left w:w="140" w:type="dxa"/>
              <w:right w:w="140" w:type="dxa"/>
            </w:tcMar>
          </w:tcPr>
          <w:p>
            <w:r>
              <w:rPr>
                <w:rFonts w:ascii="Arial" w:hAnsi="Arial"/>
                <w:color w:val="1E293B"/>
                <w:sz w:val="18"/>
              </w:rPr>
              <w:t>COA</w:t>
            </w:r>
          </w:p>
        </w:tc>
        <w:tc>
          <w:tcPr>
            <w:tcW w:type="dxa" w:w="3024"/>
            <w:shd w:fill="f8fafc"/>
            <w:tcMar>
              <w:top w:w="100" w:type="dxa"/>
              <w:bottom w:w="100" w:type="dxa"/>
              <w:left w:w="140" w:type="dxa"/>
              <w:right w:w="140" w:type="dxa"/>
            </w:tcMar>
          </w:tcPr>
          <w:p>
            <w:r>
              <w:rPr>
                <w:rFonts w:ascii="Arial" w:hAnsi="Arial"/>
                <w:color w:val="1E293B"/>
                <w:sz w:val="18"/>
              </w:rPr>
              <w:t>Chart of Accounts</w:t>
            </w:r>
          </w:p>
        </w:tc>
        <w:tc>
          <w:tcPr>
            <w:tcW w:type="dxa" w:w="1584"/>
            <w:shd w:fill="f8fafc"/>
            <w:tcMar>
              <w:top w:w="100" w:type="dxa"/>
              <w:bottom w:w="100" w:type="dxa"/>
              <w:left w:w="140" w:type="dxa"/>
              <w:right w:w="140" w:type="dxa"/>
            </w:tcMar>
          </w:tcPr>
          <w:p>
            <w:r>
              <w:rPr>
                <w:rFonts w:ascii="Arial" w:hAnsi="Arial"/>
                <w:color w:val="1E293B"/>
                <w:sz w:val="18"/>
              </w:rPr>
              <w:t>GL</w:t>
            </w:r>
          </w:p>
        </w:tc>
        <w:tc>
          <w:tcPr>
            <w:tcW w:type="dxa" w:w="3168"/>
            <w:shd w:fill="f8fafc"/>
            <w:tcMar>
              <w:top w:w="100" w:type="dxa"/>
              <w:bottom w:w="100" w:type="dxa"/>
              <w:left w:w="140" w:type="dxa"/>
              <w:right w:w="140" w:type="dxa"/>
            </w:tcMar>
          </w:tcPr>
          <w:p>
            <w:r>
              <w:rPr>
                <w:rFonts w:ascii="Arial" w:hAnsi="Arial"/>
                <w:color w:val="1E293B"/>
                <w:sz w:val="18"/>
              </w:rPr>
              <w:t>General Ledger</w:t>
            </w:r>
          </w:p>
        </w:tc>
      </w:tr>
      <w:tr>
        <w:tc>
          <w:tcPr>
            <w:tcW w:type="dxa" w:w="1584"/>
            <w:shd w:fill="ffffff"/>
            <w:tcMar>
              <w:top w:w="100" w:type="dxa"/>
              <w:bottom w:w="100" w:type="dxa"/>
              <w:left w:w="140" w:type="dxa"/>
              <w:right w:w="140" w:type="dxa"/>
            </w:tcMar>
          </w:tcPr>
          <w:p>
            <w:r>
              <w:rPr>
                <w:rFonts w:ascii="Arial" w:hAnsi="Arial"/>
                <w:color w:val="1E293B"/>
                <w:sz w:val="18"/>
              </w:rPr>
              <w:t>P&amp;L</w:t>
            </w:r>
          </w:p>
        </w:tc>
        <w:tc>
          <w:tcPr>
            <w:tcW w:type="dxa" w:w="3024"/>
            <w:shd w:fill="ffffff"/>
            <w:tcMar>
              <w:top w:w="100" w:type="dxa"/>
              <w:bottom w:w="100" w:type="dxa"/>
              <w:left w:w="140" w:type="dxa"/>
              <w:right w:w="140" w:type="dxa"/>
            </w:tcMar>
          </w:tcPr>
          <w:p>
            <w:r>
              <w:rPr>
                <w:rFonts w:ascii="Arial" w:hAnsi="Arial"/>
                <w:color w:val="1E293B"/>
                <w:sz w:val="18"/>
              </w:rPr>
              <w:t>Profit and Loss Statement</w:t>
            </w:r>
          </w:p>
        </w:tc>
        <w:tc>
          <w:tcPr>
            <w:tcW w:type="dxa" w:w="1584"/>
            <w:shd w:fill="ffffff"/>
            <w:tcMar>
              <w:top w:w="100" w:type="dxa"/>
              <w:bottom w:w="100" w:type="dxa"/>
              <w:left w:w="140" w:type="dxa"/>
              <w:right w:w="140" w:type="dxa"/>
            </w:tcMar>
          </w:tcPr>
          <w:p>
            <w:r>
              <w:rPr>
                <w:rFonts w:ascii="Arial" w:hAnsi="Arial"/>
                <w:color w:val="1E293B"/>
                <w:sz w:val="18"/>
              </w:rPr>
              <w:t>BS</w:t>
            </w:r>
          </w:p>
        </w:tc>
        <w:tc>
          <w:tcPr>
            <w:tcW w:type="dxa" w:w="3168"/>
            <w:shd w:fill="ffffff"/>
            <w:tcMar>
              <w:top w:w="100" w:type="dxa"/>
              <w:bottom w:w="100" w:type="dxa"/>
              <w:left w:w="140" w:type="dxa"/>
              <w:right w:w="140" w:type="dxa"/>
            </w:tcMar>
          </w:tcPr>
          <w:p>
            <w:r>
              <w:rPr>
                <w:rFonts w:ascii="Arial" w:hAnsi="Arial"/>
                <w:color w:val="1E293B"/>
                <w:sz w:val="18"/>
              </w:rPr>
              <w:t>Balance Sheet</w:t>
            </w:r>
          </w:p>
        </w:tc>
      </w:tr>
      <w:tr>
        <w:tc>
          <w:tcPr>
            <w:tcW w:type="dxa" w:w="1584"/>
            <w:shd w:fill="f8fafc"/>
            <w:tcMar>
              <w:top w:w="100" w:type="dxa"/>
              <w:bottom w:w="100" w:type="dxa"/>
              <w:left w:w="140" w:type="dxa"/>
              <w:right w:w="140" w:type="dxa"/>
            </w:tcMar>
          </w:tcPr>
          <w:p>
            <w:r>
              <w:rPr>
                <w:rFonts w:ascii="Arial" w:hAnsi="Arial"/>
                <w:color w:val="1E293B"/>
                <w:sz w:val="18"/>
              </w:rPr>
              <w:t>AR</w:t>
            </w:r>
          </w:p>
        </w:tc>
        <w:tc>
          <w:tcPr>
            <w:tcW w:type="dxa" w:w="3024"/>
            <w:shd w:fill="f8fafc"/>
            <w:tcMar>
              <w:top w:w="100" w:type="dxa"/>
              <w:bottom w:w="100" w:type="dxa"/>
              <w:left w:w="140" w:type="dxa"/>
              <w:right w:w="140" w:type="dxa"/>
            </w:tcMar>
          </w:tcPr>
          <w:p>
            <w:r>
              <w:rPr>
                <w:rFonts w:ascii="Arial" w:hAnsi="Arial"/>
                <w:color w:val="1E293B"/>
                <w:sz w:val="18"/>
              </w:rPr>
              <w:t>Accounts Receivable</w:t>
            </w:r>
          </w:p>
        </w:tc>
        <w:tc>
          <w:tcPr>
            <w:tcW w:type="dxa" w:w="1584"/>
            <w:shd w:fill="f8fafc"/>
            <w:tcMar>
              <w:top w:w="100" w:type="dxa"/>
              <w:bottom w:w="100" w:type="dxa"/>
              <w:left w:w="140" w:type="dxa"/>
              <w:right w:w="140" w:type="dxa"/>
            </w:tcMar>
          </w:tcPr>
          <w:p>
            <w:r>
              <w:rPr>
                <w:rFonts w:ascii="Arial" w:hAnsi="Arial"/>
                <w:color w:val="1E293B"/>
                <w:sz w:val="18"/>
              </w:rPr>
              <w:t>AP</w:t>
            </w:r>
          </w:p>
        </w:tc>
        <w:tc>
          <w:tcPr>
            <w:tcW w:type="dxa" w:w="3168"/>
            <w:shd w:fill="f8fafc"/>
            <w:tcMar>
              <w:top w:w="100" w:type="dxa"/>
              <w:bottom w:w="100" w:type="dxa"/>
              <w:left w:w="140" w:type="dxa"/>
              <w:right w:w="140" w:type="dxa"/>
            </w:tcMar>
          </w:tcPr>
          <w:p>
            <w:r>
              <w:rPr>
                <w:rFonts w:ascii="Arial" w:hAnsi="Arial"/>
                <w:color w:val="1E293B"/>
                <w:sz w:val="18"/>
              </w:rPr>
              <w:t>Accounts Payable</w:t>
            </w:r>
          </w:p>
        </w:tc>
      </w:tr>
      <w:tr>
        <w:tc>
          <w:tcPr>
            <w:tcW w:type="dxa" w:w="1584"/>
            <w:shd w:fill="ffffff"/>
            <w:tcMar>
              <w:top w:w="100" w:type="dxa"/>
              <w:bottom w:w="100" w:type="dxa"/>
              <w:left w:w="140" w:type="dxa"/>
              <w:right w:w="140" w:type="dxa"/>
            </w:tcMar>
          </w:tcPr>
          <w:p>
            <w:r>
              <w:rPr>
                <w:rFonts w:ascii="Arial" w:hAnsi="Arial"/>
                <w:color w:val="1E293B"/>
                <w:sz w:val="18"/>
              </w:rPr>
              <w:t>DII</w:t>
            </w:r>
          </w:p>
        </w:tc>
        <w:tc>
          <w:tcPr>
            <w:tcW w:type="dxa" w:w="3024"/>
            <w:shd w:fill="ffffff"/>
            <w:tcMar>
              <w:top w:w="100" w:type="dxa"/>
              <w:bottom w:w="100" w:type="dxa"/>
              <w:left w:w="140" w:type="dxa"/>
              <w:right w:w="140" w:type="dxa"/>
            </w:tcMar>
          </w:tcPr>
          <w:p>
            <w:r>
              <w:rPr>
                <w:rFonts w:ascii="Arial" w:hAnsi="Arial"/>
                <w:color w:val="1E293B"/>
                <w:sz w:val="18"/>
              </w:rPr>
              <w:t>Days in Inventory</w:t>
            </w:r>
          </w:p>
        </w:tc>
        <w:tc>
          <w:tcPr>
            <w:tcW w:type="dxa" w:w="1584"/>
            <w:shd w:fill="ffffff"/>
            <w:tcMar>
              <w:top w:w="100" w:type="dxa"/>
              <w:bottom w:w="100" w:type="dxa"/>
              <w:left w:w="140" w:type="dxa"/>
              <w:right w:w="140" w:type="dxa"/>
            </w:tcMar>
          </w:tcPr>
          <w:p>
            <w:r>
              <w:rPr>
                <w:rFonts w:ascii="Arial" w:hAnsi="Arial"/>
                <w:color w:val="1E293B"/>
                <w:sz w:val="18"/>
              </w:rPr>
              <w:t>MIL</w:t>
            </w:r>
          </w:p>
        </w:tc>
        <w:tc>
          <w:tcPr>
            <w:tcW w:type="dxa" w:w="3168"/>
            <w:shd w:fill="ffffff"/>
            <w:tcMar>
              <w:top w:w="100" w:type="dxa"/>
              <w:bottom w:w="100" w:type="dxa"/>
              <w:left w:w="140" w:type="dxa"/>
              <w:right w:w="140" w:type="dxa"/>
            </w:tcMar>
          </w:tcPr>
          <w:p>
            <w:r>
              <w:rPr>
                <w:rFonts w:ascii="Arial" w:hAnsi="Arial"/>
                <w:color w:val="1E293B"/>
                <w:sz w:val="18"/>
              </w:rPr>
              <w:t>Minimum Inventory Level</w:t>
            </w:r>
          </w:p>
        </w:tc>
      </w:tr>
      <w:tr>
        <w:tc>
          <w:tcPr>
            <w:tcW w:type="dxa" w:w="1584"/>
            <w:shd w:fill="f8fafc"/>
            <w:tcMar>
              <w:top w:w="100" w:type="dxa"/>
              <w:bottom w:w="100" w:type="dxa"/>
              <w:left w:w="140" w:type="dxa"/>
              <w:right w:w="140" w:type="dxa"/>
            </w:tcMar>
          </w:tcPr>
          <w:p>
            <w:r>
              <w:rPr>
                <w:rFonts w:ascii="Arial" w:hAnsi="Arial"/>
                <w:color w:val="1E293B"/>
                <w:sz w:val="18"/>
              </w:rPr>
              <w:t>BOM</w:t>
            </w:r>
          </w:p>
        </w:tc>
        <w:tc>
          <w:tcPr>
            <w:tcW w:type="dxa" w:w="3024"/>
            <w:shd w:fill="f8fafc"/>
            <w:tcMar>
              <w:top w:w="100" w:type="dxa"/>
              <w:bottom w:w="100" w:type="dxa"/>
              <w:left w:w="140" w:type="dxa"/>
              <w:right w:w="140" w:type="dxa"/>
            </w:tcMar>
          </w:tcPr>
          <w:p>
            <w:r>
              <w:rPr>
                <w:rFonts w:ascii="Arial" w:hAnsi="Arial"/>
                <w:color w:val="1E293B"/>
                <w:sz w:val="18"/>
              </w:rPr>
              <w:t>Bill of Materials</w:t>
            </w:r>
          </w:p>
        </w:tc>
        <w:tc>
          <w:tcPr>
            <w:tcW w:type="dxa" w:w="1584"/>
            <w:shd w:fill="f8fafc"/>
            <w:tcMar>
              <w:top w:w="100" w:type="dxa"/>
              <w:bottom w:w="100" w:type="dxa"/>
              <w:left w:w="140" w:type="dxa"/>
              <w:right w:w="140" w:type="dxa"/>
            </w:tcMar>
          </w:tcPr>
          <w:p>
            <w:r>
              <w:rPr>
                <w:rFonts w:ascii="Arial" w:hAnsi="Arial"/>
                <w:color w:val="1E293B"/>
                <w:sz w:val="18"/>
              </w:rPr>
              <w:t>SKU</w:t>
            </w:r>
          </w:p>
        </w:tc>
        <w:tc>
          <w:tcPr>
            <w:tcW w:type="dxa" w:w="3168"/>
            <w:shd w:fill="f8fafc"/>
            <w:tcMar>
              <w:top w:w="100" w:type="dxa"/>
              <w:bottom w:w="100" w:type="dxa"/>
              <w:left w:w="140" w:type="dxa"/>
              <w:right w:w="140" w:type="dxa"/>
            </w:tcMar>
          </w:tcPr>
          <w:p>
            <w:r>
              <w:rPr>
                <w:rFonts w:ascii="Arial" w:hAnsi="Arial"/>
                <w:color w:val="1E293B"/>
                <w:sz w:val="18"/>
              </w:rPr>
              <w:t>Stock Keeping Unit</w:t>
            </w:r>
          </w:p>
        </w:tc>
      </w:tr>
      <w:tr>
        <w:tc>
          <w:tcPr>
            <w:tcW w:type="dxa" w:w="1584"/>
            <w:shd w:fill="ffffff"/>
            <w:tcMar>
              <w:top w:w="100" w:type="dxa"/>
              <w:bottom w:w="100" w:type="dxa"/>
              <w:left w:w="140" w:type="dxa"/>
              <w:right w:w="140" w:type="dxa"/>
            </w:tcMar>
          </w:tcPr>
          <w:p>
            <w:r>
              <w:rPr>
                <w:rFonts w:ascii="Arial" w:hAnsi="Arial"/>
                <w:color w:val="1E293B"/>
                <w:sz w:val="18"/>
              </w:rPr>
              <w:t>SLE</w:t>
            </w:r>
          </w:p>
        </w:tc>
        <w:tc>
          <w:tcPr>
            <w:tcW w:type="dxa" w:w="3024"/>
            <w:shd w:fill="ffffff"/>
            <w:tcMar>
              <w:top w:w="100" w:type="dxa"/>
              <w:bottom w:w="100" w:type="dxa"/>
              <w:left w:w="140" w:type="dxa"/>
              <w:right w:w="140" w:type="dxa"/>
            </w:tcMar>
          </w:tcPr>
          <w:p>
            <w:r>
              <w:rPr>
                <w:rFonts w:ascii="Arial" w:hAnsi="Arial"/>
                <w:color w:val="1E293B"/>
                <w:sz w:val="18"/>
              </w:rPr>
              <w:t>Stock Ledger Entry</w:t>
            </w:r>
          </w:p>
        </w:tc>
        <w:tc>
          <w:tcPr>
            <w:tcW w:type="dxa" w:w="1584"/>
            <w:shd w:fill="ffffff"/>
            <w:tcMar>
              <w:top w:w="100" w:type="dxa"/>
              <w:bottom w:w="100" w:type="dxa"/>
              <w:left w:w="140" w:type="dxa"/>
              <w:right w:w="140" w:type="dxa"/>
            </w:tcMar>
          </w:tcPr>
          <w:p>
            <w:r>
              <w:rPr>
                <w:rFonts w:ascii="Arial" w:hAnsi="Arial"/>
                <w:color w:val="1E293B"/>
                <w:sz w:val="18"/>
              </w:rPr>
              <w:t>PCount</w:t>
            </w:r>
          </w:p>
        </w:tc>
        <w:tc>
          <w:tcPr>
            <w:tcW w:type="dxa" w:w="3168"/>
            <w:shd w:fill="ffffff"/>
            <w:tcMar>
              <w:top w:w="100" w:type="dxa"/>
              <w:bottom w:w="100" w:type="dxa"/>
              <w:left w:w="140" w:type="dxa"/>
              <w:right w:w="140" w:type="dxa"/>
            </w:tcMar>
          </w:tcPr>
          <w:p>
            <w:r>
              <w:rPr>
                <w:rFonts w:ascii="Arial" w:hAnsi="Arial"/>
                <w:color w:val="1E293B"/>
                <w:sz w:val="18"/>
              </w:rPr>
              <w:t>Physical Inventory Count</w:t>
            </w:r>
          </w:p>
        </w:tc>
      </w:tr>
      <w:tr>
        <w:tc>
          <w:tcPr>
            <w:tcW w:type="dxa" w:w="1584"/>
            <w:shd w:fill="f8fafc"/>
            <w:tcMar>
              <w:top w:w="100" w:type="dxa"/>
              <w:bottom w:w="100" w:type="dxa"/>
              <w:left w:w="140" w:type="dxa"/>
              <w:right w:w="140" w:type="dxa"/>
            </w:tcMar>
          </w:tcPr>
          <w:p>
            <w:r>
              <w:rPr>
                <w:rFonts w:ascii="Arial" w:hAnsi="Arial"/>
                <w:color w:val="1E293B"/>
                <w:sz w:val="18"/>
              </w:rPr>
              <w:t>BIR</w:t>
            </w:r>
          </w:p>
        </w:tc>
        <w:tc>
          <w:tcPr>
            <w:tcW w:type="dxa" w:w="3024"/>
            <w:shd w:fill="f8fafc"/>
            <w:tcMar>
              <w:top w:w="100" w:type="dxa"/>
              <w:bottom w:w="100" w:type="dxa"/>
              <w:left w:w="140" w:type="dxa"/>
              <w:right w:w="140" w:type="dxa"/>
            </w:tcMar>
          </w:tcPr>
          <w:p>
            <w:r>
              <w:rPr>
                <w:rFonts w:ascii="Arial" w:hAnsi="Arial"/>
                <w:color w:val="1E293B"/>
                <w:sz w:val="18"/>
              </w:rPr>
              <w:t>Bureau of Internal Revenue</w:t>
            </w:r>
          </w:p>
        </w:tc>
        <w:tc>
          <w:tcPr>
            <w:tcW w:type="dxa" w:w="1584"/>
            <w:shd w:fill="f8fafc"/>
            <w:tcMar>
              <w:top w:w="100" w:type="dxa"/>
              <w:bottom w:w="100" w:type="dxa"/>
              <w:left w:w="140" w:type="dxa"/>
              <w:right w:w="140" w:type="dxa"/>
            </w:tcMar>
          </w:tcPr>
          <w:p>
            <w:r>
              <w:rPr>
                <w:rFonts w:ascii="Arial" w:hAnsi="Arial"/>
                <w:color w:val="1E293B"/>
                <w:sz w:val="18"/>
              </w:rPr>
              <w:t>EWT</w:t>
            </w:r>
          </w:p>
        </w:tc>
        <w:tc>
          <w:tcPr>
            <w:tcW w:type="dxa" w:w="3168"/>
            <w:shd w:fill="f8fafc"/>
            <w:tcMar>
              <w:top w:w="100" w:type="dxa"/>
              <w:bottom w:w="100" w:type="dxa"/>
              <w:left w:w="140" w:type="dxa"/>
              <w:right w:w="140" w:type="dxa"/>
            </w:tcMar>
          </w:tcPr>
          <w:p>
            <w:r>
              <w:rPr>
                <w:rFonts w:ascii="Arial" w:hAnsi="Arial"/>
                <w:color w:val="1E293B"/>
                <w:sz w:val="18"/>
              </w:rPr>
              <w:t>Expanded Withholding Tax</w:t>
            </w:r>
          </w:p>
        </w:tc>
      </w:tr>
      <w:tr>
        <w:tc>
          <w:tcPr>
            <w:tcW w:type="dxa" w:w="1584"/>
            <w:shd w:fill="ffffff"/>
            <w:tcMar>
              <w:top w:w="100" w:type="dxa"/>
              <w:bottom w:w="100" w:type="dxa"/>
              <w:left w:w="140" w:type="dxa"/>
              <w:right w:w="140" w:type="dxa"/>
            </w:tcMar>
          </w:tcPr>
          <w:p>
            <w:r>
              <w:rPr>
                <w:rFonts w:ascii="Arial" w:hAnsi="Arial"/>
                <w:color w:val="1E293B"/>
                <w:sz w:val="18"/>
              </w:rPr>
              <w:t>O2C</w:t>
            </w:r>
          </w:p>
        </w:tc>
        <w:tc>
          <w:tcPr>
            <w:tcW w:type="dxa" w:w="3024"/>
            <w:shd w:fill="ffffff"/>
            <w:tcMar>
              <w:top w:w="100" w:type="dxa"/>
              <w:bottom w:w="100" w:type="dxa"/>
              <w:left w:w="140" w:type="dxa"/>
              <w:right w:w="140" w:type="dxa"/>
            </w:tcMar>
          </w:tcPr>
          <w:p>
            <w:r>
              <w:rPr>
                <w:rFonts w:ascii="Arial" w:hAnsi="Arial"/>
                <w:color w:val="1E293B"/>
                <w:sz w:val="18"/>
              </w:rPr>
              <w:t>Order to Cash Workflow</w:t>
            </w:r>
          </w:p>
        </w:tc>
        <w:tc>
          <w:tcPr>
            <w:tcW w:type="dxa" w:w="1584"/>
            <w:shd w:fill="ffffff"/>
            <w:tcMar>
              <w:top w:w="100" w:type="dxa"/>
              <w:bottom w:w="100" w:type="dxa"/>
              <w:left w:w="140" w:type="dxa"/>
              <w:right w:w="140" w:type="dxa"/>
            </w:tcMar>
          </w:tcPr>
          <w:p>
            <w:r>
              <w:rPr>
                <w:rFonts w:ascii="Arial" w:hAnsi="Arial"/>
                <w:color w:val="1E293B"/>
                <w:sz w:val="18"/>
              </w:rPr>
              <w:t>P2P</w:t>
            </w:r>
          </w:p>
        </w:tc>
        <w:tc>
          <w:tcPr>
            <w:tcW w:type="dxa" w:w="3168"/>
            <w:shd w:fill="ffffff"/>
            <w:tcMar>
              <w:top w:w="100" w:type="dxa"/>
              <w:bottom w:w="100" w:type="dxa"/>
              <w:left w:w="140" w:type="dxa"/>
              <w:right w:w="140" w:type="dxa"/>
            </w:tcMar>
          </w:tcPr>
          <w:p>
            <w:r>
              <w:rPr>
                <w:rFonts w:ascii="Arial" w:hAnsi="Arial"/>
                <w:color w:val="1E293B"/>
                <w:sz w:val="18"/>
              </w:rPr>
              <w:t>Procure to Pay Workflow</w:t>
            </w:r>
          </w:p>
        </w:tc>
      </w:tr>
      <w:tr>
        <w:tc>
          <w:tcPr>
            <w:tcW w:type="dxa" w:w="1584"/>
            <w:shd w:fill="f8fafc"/>
            <w:tcMar>
              <w:top w:w="100" w:type="dxa"/>
              <w:bottom w:w="100" w:type="dxa"/>
              <w:left w:w="140" w:type="dxa"/>
              <w:right w:w="140" w:type="dxa"/>
            </w:tcMar>
          </w:tcPr>
          <w:p>
            <w:r>
              <w:rPr>
                <w:rFonts w:ascii="Arial" w:hAnsi="Arial"/>
                <w:color w:val="1E293B"/>
                <w:sz w:val="18"/>
              </w:rPr>
              <w:t>MOP</w:t>
            </w:r>
          </w:p>
        </w:tc>
        <w:tc>
          <w:tcPr>
            <w:tcW w:type="dxa" w:w="3024"/>
            <w:shd w:fill="f8fafc"/>
            <w:tcMar>
              <w:top w:w="100" w:type="dxa"/>
              <w:bottom w:w="100" w:type="dxa"/>
              <w:left w:w="140" w:type="dxa"/>
              <w:right w:w="140" w:type="dxa"/>
            </w:tcMar>
          </w:tcPr>
          <w:p>
            <w:r>
              <w:rPr>
                <w:rFonts w:ascii="Arial" w:hAnsi="Arial"/>
                <w:color w:val="1E293B"/>
                <w:sz w:val="18"/>
              </w:rPr>
              <w:t>Mode of Payment</w:t>
            </w:r>
          </w:p>
        </w:tc>
        <w:tc>
          <w:tcPr>
            <w:tcW w:type="dxa" w:w="1584"/>
            <w:shd w:fill="f8fafc"/>
            <w:tcMar>
              <w:top w:w="100" w:type="dxa"/>
              <w:bottom w:w="100" w:type="dxa"/>
              <w:left w:w="140" w:type="dxa"/>
              <w:right w:w="140" w:type="dxa"/>
            </w:tcMar>
          </w:tcPr>
          <w:p>
            <w:r>
              <w:rPr>
                <w:rFonts w:ascii="Arial" w:hAnsi="Arial"/>
                <w:color w:val="1E293B"/>
                <w:sz w:val="18"/>
              </w:rPr>
              <w:t>SoD</w:t>
            </w:r>
          </w:p>
        </w:tc>
        <w:tc>
          <w:tcPr>
            <w:tcW w:type="dxa" w:w="3168"/>
            <w:shd w:fill="f8fafc"/>
            <w:tcMar>
              <w:top w:w="100" w:type="dxa"/>
              <w:bottom w:w="100" w:type="dxa"/>
              <w:left w:w="140" w:type="dxa"/>
              <w:right w:w="140" w:type="dxa"/>
            </w:tcMar>
          </w:tcPr>
          <w:p>
            <w:r>
              <w:rPr>
                <w:rFonts w:ascii="Arial" w:hAnsi="Arial"/>
                <w:color w:val="1E293B"/>
                <w:sz w:val="18"/>
              </w:rPr>
              <w:t>Segregation of Duties</w:t>
            </w:r>
          </w:p>
        </w:tc>
      </w:tr>
      <w:tr>
        <w:tc>
          <w:tcPr>
            <w:tcW w:type="dxa" w:w="1584"/>
            <w:shd w:fill="ffffff"/>
            <w:tcMar>
              <w:top w:w="100" w:type="dxa"/>
              <w:bottom w:w="100" w:type="dxa"/>
              <w:left w:w="140" w:type="dxa"/>
              <w:right w:w="140" w:type="dxa"/>
            </w:tcMar>
          </w:tcPr>
          <w:p>
            <w:r>
              <w:rPr>
                <w:rFonts w:ascii="Arial" w:hAnsi="Arial"/>
                <w:color w:val="1E293B"/>
                <w:sz w:val="18"/>
              </w:rPr>
              <w:t>RBAC</w:t>
            </w:r>
          </w:p>
        </w:tc>
        <w:tc>
          <w:tcPr>
            <w:tcW w:type="dxa" w:w="3024"/>
            <w:shd w:fill="ffffff"/>
            <w:tcMar>
              <w:top w:w="100" w:type="dxa"/>
              <w:bottom w:w="100" w:type="dxa"/>
              <w:left w:w="140" w:type="dxa"/>
              <w:right w:w="140" w:type="dxa"/>
            </w:tcMar>
          </w:tcPr>
          <w:p>
            <w:r>
              <w:rPr>
                <w:rFonts w:ascii="Arial" w:hAnsi="Arial"/>
                <w:color w:val="1E293B"/>
                <w:sz w:val="18"/>
              </w:rPr>
              <w:t>Role-Based Access Control</w:t>
            </w:r>
          </w:p>
        </w:tc>
        <w:tc>
          <w:tcPr>
            <w:tcW w:type="dxa" w:w="1584"/>
            <w:shd w:fill="ffffff"/>
            <w:tcMar>
              <w:top w:w="100" w:type="dxa"/>
              <w:bottom w:w="100" w:type="dxa"/>
              <w:left w:w="140" w:type="dxa"/>
              <w:right w:w="140" w:type="dxa"/>
            </w:tcMar>
          </w:tcPr>
          <w:p>
            <w:r>
              <w:rPr>
                <w:rFonts w:ascii="Arial" w:hAnsi="Arial"/>
                <w:color w:val="1E293B"/>
                <w:sz w:val="18"/>
              </w:rPr>
              <w:t>UAT</w:t>
            </w:r>
          </w:p>
        </w:tc>
        <w:tc>
          <w:tcPr>
            <w:tcW w:type="dxa" w:w="3168"/>
            <w:shd w:fill="ffffff"/>
            <w:tcMar>
              <w:top w:w="100" w:type="dxa"/>
              <w:bottom w:w="100" w:type="dxa"/>
              <w:left w:w="140" w:type="dxa"/>
              <w:right w:w="140" w:type="dxa"/>
            </w:tcMar>
          </w:tcPr>
          <w:p>
            <w:r>
              <w:rPr>
                <w:rFonts w:ascii="Arial" w:hAnsi="Arial"/>
                <w:color w:val="1E293B"/>
                <w:sz w:val="18"/>
              </w:rPr>
              <w:t>User Acceptance Testing</w:t>
            </w:r>
          </w:p>
        </w:tc>
      </w:tr>
    </w:tbl>
    <w:p/>
    <w:p>
      <w:pPr>
        <w:pStyle w:val="Heading1"/>
      </w:pPr>
      <w:r>
        <w:t>4. PROCESS FLOW NOTATION &amp; FLOWCHART LEGENDS</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0f172a"/>
            <w:tcMar>
              <w:top w:w="140" w:type="dxa"/>
              <w:bottom w:w="140" w:type="dxa"/>
              <w:left w:w="160" w:type="dxa"/>
              <w:right w:w="160" w:type="dxa"/>
            </w:tcMar>
          </w:tcPr>
          <w:p>
            <w:pPr>
              <w:jc w:val="left"/>
            </w:pPr>
            <w:r>
              <w:rPr>
                <w:rFonts w:ascii="Arial" w:hAnsi="Arial"/>
                <w:b/>
                <w:color w:val="FFFFFF"/>
                <w:sz w:val="19"/>
              </w:rPr>
              <w:t>Symbol</w:t>
            </w:r>
          </w:p>
        </w:tc>
        <w:tc>
          <w:tcPr>
            <w:tcW w:type="dxa" w:w="2160"/>
            <w:shd w:fill="0f172a"/>
            <w:tcMar>
              <w:top w:w="140" w:type="dxa"/>
              <w:bottom w:w="140" w:type="dxa"/>
              <w:left w:w="160" w:type="dxa"/>
              <w:right w:w="160" w:type="dxa"/>
            </w:tcMar>
          </w:tcPr>
          <w:p>
            <w:pPr>
              <w:jc w:val="left"/>
            </w:pPr>
            <w:r>
              <w:rPr>
                <w:rFonts w:ascii="Arial" w:hAnsi="Arial"/>
                <w:b/>
                <w:color w:val="FFFFFF"/>
                <w:sz w:val="19"/>
              </w:rPr>
              <w:t>Element Type</w:t>
            </w:r>
          </w:p>
        </w:tc>
        <w:tc>
          <w:tcPr>
            <w:tcW w:type="dxa" w:w="5040"/>
            <w:shd w:fill="0f172a"/>
            <w:tcMar>
              <w:top w:w="140" w:type="dxa"/>
              <w:bottom w:w="140" w:type="dxa"/>
              <w:left w:w="160" w:type="dxa"/>
              <w:right w:w="160" w:type="dxa"/>
            </w:tcMar>
          </w:tcPr>
          <w:p>
            <w:pPr>
              <w:jc w:val="left"/>
            </w:pPr>
            <w:r>
              <w:rPr>
                <w:rFonts w:ascii="Arial" w:hAnsi="Arial"/>
                <w:b/>
                <w:color w:val="FFFFFF"/>
                <w:sz w:val="19"/>
              </w:rPr>
              <w:t>Description &amp; Usage in ERPNext v16 / VMS</w:t>
            </w:r>
          </w:p>
        </w:tc>
      </w:tr>
      <w:tr>
        <w:tc>
          <w:tcPr>
            <w:tcW w:type="dxa" w:w="2160"/>
            <w:shd w:fill="ffffff"/>
            <w:tcMar>
              <w:top w:w="100" w:type="dxa"/>
              <w:bottom w:w="100" w:type="dxa"/>
              <w:left w:w="140" w:type="dxa"/>
              <w:right w:w="140" w:type="dxa"/>
            </w:tcMar>
          </w:tcPr>
          <w:p>
            <w:r>
              <w:rPr>
                <w:rFonts w:ascii="Arial" w:hAnsi="Arial"/>
                <w:color w:val="1E293B"/>
                <w:sz w:val="18"/>
              </w:rPr>
              <w:t>[ START / END ]</w:t>
            </w:r>
          </w:p>
        </w:tc>
        <w:tc>
          <w:tcPr>
            <w:tcW w:type="dxa" w:w="2160"/>
            <w:shd w:fill="ffffff"/>
            <w:tcMar>
              <w:top w:w="100" w:type="dxa"/>
              <w:bottom w:w="100" w:type="dxa"/>
              <w:left w:w="140" w:type="dxa"/>
              <w:right w:w="140" w:type="dxa"/>
            </w:tcMar>
          </w:tcPr>
          <w:p>
            <w:r>
              <w:rPr>
                <w:rFonts w:ascii="Arial" w:hAnsi="Arial"/>
                <w:color w:val="1E293B"/>
                <w:sz w:val="18"/>
              </w:rPr>
              <w:t>Terminal</w:t>
            </w:r>
          </w:p>
        </w:tc>
        <w:tc>
          <w:tcPr>
            <w:tcW w:type="dxa" w:w="5040"/>
            <w:shd w:fill="ffffff"/>
            <w:tcMar>
              <w:top w:w="100" w:type="dxa"/>
              <w:bottom w:w="100" w:type="dxa"/>
              <w:left w:w="140" w:type="dxa"/>
              <w:right w:w="140" w:type="dxa"/>
            </w:tcMar>
          </w:tcPr>
          <w:p>
            <w:r>
              <w:rPr>
                <w:rFonts w:ascii="Arial" w:hAnsi="Arial"/>
                <w:color w:val="1E293B"/>
                <w:sz w:val="18"/>
              </w:rPr>
              <w:t>Represents process initiation (e.g. Vehicle Intake) or terminal completion (e.g. Payment Released).</w:t>
            </w:r>
          </w:p>
        </w:tc>
      </w:tr>
      <w:tr>
        <w:tc>
          <w:tcPr>
            <w:tcW w:type="dxa" w:w="2160"/>
            <w:shd w:fill="f8fafc"/>
            <w:tcMar>
              <w:top w:w="100" w:type="dxa"/>
              <w:bottom w:w="100" w:type="dxa"/>
              <w:left w:w="140" w:type="dxa"/>
              <w:right w:w="140" w:type="dxa"/>
            </w:tcMar>
          </w:tcPr>
          <w:p>
            <w:r>
              <w:rPr>
                <w:rFonts w:ascii="Arial" w:hAnsi="Arial"/>
                <w:color w:val="1E293B"/>
                <w:sz w:val="18"/>
              </w:rPr>
              <w:t>[ PROCESS ]</w:t>
            </w:r>
          </w:p>
        </w:tc>
        <w:tc>
          <w:tcPr>
            <w:tcW w:type="dxa" w:w="2160"/>
            <w:shd w:fill="f8fafc"/>
            <w:tcMar>
              <w:top w:w="100" w:type="dxa"/>
              <w:bottom w:w="100" w:type="dxa"/>
              <w:left w:w="140" w:type="dxa"/>
              <w:right w:w="140" w:type="dxa"/>
            </w:tcMar>
          </w:tcPr>
          <w:p>
            <w:r>
              <w:rPr>
                <w:rFonts w:ascii="Arial" w:hAnsi="Arial"/>
                <w:color w:val="1E293B"/>
                <w:sz w:val="18"/>
              </w:rPr>
              <w:t>Operational Step</w:t>
            </w:r>
          </w:p>
        </w:tc>
        <w:tc>
          <w:tcPr>
            <w:tcW w:type="dxa" w:w="5040"/>
            <w:shd w:fill="f8fafc"/>
            <w:tcMar>
              <w:top w:w="100" w:type="dxa"/>
              <w:bottom w:w="100" w:type="dxa"/>
              <w:left w:w="140" w:type="dxa"/>
              <w:right w:w="140" w:type="dxa"/>
            </w:tcMar>
          </w:tcPr>
          <w:p>
            <w:r>
              <w:rPr>
                <w:rFonts w:ascii="Arial" w:hAnsi="Arial"/>
                <w:color w:val="1E293B"/>
                <w:sz w:val="18"/>
              </w:rPr>
              <w:t>A distinct action executed by a user (e.g. Service Advisor encodes Estimate lines).</w:t>
            </w:r>
          </w:p>
        </w:tc>
      </w:tr>
      <w:tr>
        <w:tc>
          <w:tcPr>
            <w:tcW w:type="dxa" w:w="2160"/>
            <w:shd w:fill="ffffff"/>
            <w:tcMar>
              <w:top w:w="100" w:type="dxa"/>
              <w:bottom w:w="100" w:type="dxa"/>
              <w:left w:w="140" w:type="dxa"/>
              <w:right w:w="140" w:type="dxa"/>
            </w:tcMar>
          </w:tcPr>
          <w:p>
            <w:r>
              <w:rPr>
                <w:rFonts w:ascii="Arial" w:hAnsi="Arial"/>
                <w:color w:val="1E293B"/>
                <w:sz w:val="18"/>
              </w:rPr>
              <w:t>[ AUTOMATION ]</w:t>
            </w:r>
          </w:p>
        </w:tc>
        <w:tc>
          <w:tcPr>
            <w:tcW w:type="dxa" w:w="2160"/>
            <w:shd w:fill="ffffff"/>
            <w:tcMar>
              <w:top w:w="100" w:type="dxa"/>
              <w:bottom w:w="100" w:type="dxa"/>
              <w:left w:w="140" w:type="dxa"/>
              <w:right w:w="140" w:type="dxa"/>
            </w:tcMar>
          </w:tcPr>
          <w:p>
            <w:r>
              <w:rPr>
                <w:rFonts w:ascii="Arial" w:hAnsi="Arial"/>
                <w:color w:val="1E293B"/>
                <w:sz w:val="18"/>
              </w:rPr>
              <w:t>System Trigger</w:t>
            </w:r>
          </w:p>
        </w:tc>
        <w:tc>
          <w:tcPr>
            <w:tcW w:type="dxa" w:w="5040"/>
            <w:shd w:fill="ffffff"/>
            <w:tcMar>
              <w:top w:w="100" w:type="dxa"/>
              <w:bottom w:w="100" w:type="dxa"/>
              <w:left w:w="140" w:type="dxa"/>
              <w:right w:w="140" w:type="dxa"/>
            </w:tcMar>
          </w:tcPr>
          <w:p>
            <w:r>
              <w:rPr>
                <w:rFonts w:ascii="Arial" w:hAnsi="Arial"/>
                <w:color w:val="1E293B"/>
                <w:sz w:val="18"/>
              </w:rPr>
              <w:t>An automated script execution (e.g. Auto-creation of Stock Ledger Entry, GL Journal posting).</w:t>
            </w:r>
          </w:p>
        </w:tc>
      </w:tr>
      <w:tr>
        <w:tc>
          <w:tcPr>
            <w:tcW w:type="dxa" w:w="2160"/>
            <w:shd w:fill="f8fafc"/>
            <w:tcMar>
              <w:top w:w="100" w:type="dxa"/>
              <w:bottom w:w="100" w:type="dxa"/>
              <w:left w:w="140" w:type="dxa"/>
              <w:right w:w="140" w:type="dxa"/>
            </w:tcMar>
          </w:tcPr>
          <w:p>
            <w:r>
              <w:rPr>
                <w:rFonts w:ascii="Arial" w:hAnsi="Arial"/>
                <w:color w:val="1E293B"/>
                <w:sz w:val="18"/>
              </w:rPr>
              <w:t>[ DECISION ]</w:t>
            </w:r>
          </w:p>
        </w:tc>
        <w:tc>
          <w:tcPr>
            <w:tcW w:type="dxa" w:w="2160"/>
            <w:shd w:fill="f8fafc"/>
            <w:tcMar>
              <w:top w:w="100" w:type="dxa"/>
              <w:bottom w:w="100" w:type="dxa"/>
              <w:left w:w="140" w:type="dxa"/>
              <w:right w:w="140" w:type="dxa"/>
            </w:tcMar>
          </w:tcPr>
          <w:p>
            <w:r>
              <w:rPr>
                <w:rFonts w:ascii="Arial" w:hAnsi="Arial"/>
                <w:color w:val="1E293B"/>
                <w:sz w:val="18"/>
              </w:rPr>
              <w:t>Condition / Gate</w:t>
            </w:r>
          </w:p>
        </w:tc>
        <w:tc>
          <w:tcPr>
            <w:tcW w:type="dxa" w:w="5040"/>
            <w:shd w:fill="f8fafc"/>
            <w:tcMar>
              <w:top w:w="100" w:type="dxa"/>
              <w:bottom w:w="100" w:type="dxa"/>
              <w:left w:w="140" w:type="dxa"/>
              <w:right w:w="140" w:type="dxa"/>
            </w:tcMar>
          </w:tcPr>
          <w:p>
            <w:r>
              <w:rPr>
                <w:rFonts w:ascii="Arial" w:hAnsi="Arial"/>
                <w:color w:val="1E293B"/>
                <w:sz w:val="18"/>
              </w:rPr>
              <w:t>A branching validation point (e.g. Is customer estimate approved? Is stock available in bin?).</w:t>
            </w:r>
          </w:p>
        </w:tc>
      </w:tr>
      <w:tr>
        <w:tc>
          <w:tcPr>
            <w:tcW w:type="dxa" w:w="2160"/>
            <w:shd w:fill="ffffff"/>
            <w:tcMar>
              <w:top w:w="100" w:type="dxa"/>
              <w:bottom w:w="100" w:type="dxa"/>
              <w:left w:w="140" w:type="dxa"/>
              <w:right w:w="140" w:type="dxa"/>
            </w:tcMar>
          </w:tcPr>
          <w:p>
            <w:r>
              <w:rPr>
                <w:rFonts w:ascii="Arial" w:hAnsi="Arial"/>
                <w:color w:val="1E293B"/>
                <w:sz w:val="18"/>
              </w:rPr>
              <w:t>[ DOCUMENT ]</w:t>
            </w:r>
          </w:p>
        </w:tc>
        <w:tc>
          <w:tcPr>
            <w:tcW w:type="dxa" w:w="2160"/>
            <w:shd w:fill="ffffff"/>
            <w:tcMar>
              <w:top w:w="100" w:type="dxa"/>
              <w:bottom w:w="100" w:type="dxa"/>
              <w:left w:w="140" w:type="dxa"/>
              <w:right w:w="140" w:type="dxa"/>
            </w:tcMar>
          </w:tcPr>
          <w:p>
            <w:r>
              <w:rPr>
                <w:rFonts w:ascii="Arial" w:hAnsi="Arial"/>
                <w:color w:val="1E293B"/>
                <w:sz w:val="18"/>
              </w:rPr>
              <w:t>DocType / Record</w:t>
            </w:r>
          </w:p>
        </w:tc>
        <w:tc>
          <w:tcPr>
            <w:tcW w:type="dxa" w:w="5040"/>
            <w:shd w:fill="ffffff"/>
            <w:tcMar>
              <w:top w:w="100" w:type="dxa"/>
              <w:bottom w:w="100" w:type="dxa"/>
              <w:left w:w="140" w:type="dxa"/>
              <w:right w:w="140" w:type="dxa"/>
            </w:tcMar>
          </w:tcPr>
          <w:p>
            <w:r>
              <w:rPr>
                <w:rFonts w:ascii="Arial" w:hAnsi="Arial"/>
                <w:color w:val="1E293B"/>
                <w:sz w:val="18"/>
              </w:rPr>
              <w:t>A transactional record in ERPNext (e.g. Sales Invoice, Purchase Order, Vehicle Job Order).</w:t>
            </w:r>
          </w:p>
        </w:tc>
      </w:tr>
      <w:tr>
        <w:tc>
          <w:tcPr>
            <w:tcW w:type="dxa" w:w="2160"/>
            <w:shd w:fill="f8fafc"/>
            <w:tcMar>
              <w:top w:w="100" w:type="dxa"/>
              <w:bottom w:w="100" w:type="dxa"/>
              <w:left w:w="140" w:type="dxa"/>
              <w:right w:w="140" w:type="dxa"/>
            </w:tcMar>
          </w:tcPr>
          <w:p>
            <w:r>
              <w:rPr>
                <w:rFonts w:ascii="Arial" w:hAnsi="Arial"/>
                <w:color w:val="1E293B"/>
                <w:sz w:val="18"/>
              </w:rPr>
              <w:t>[ DATA STORE ]</w:t>
            </w:r>
          </w:p>
        </w:tc>
        <w:tc>
          <w:tcPr>
            <w:tcW w:type="dxa" w:w="2160"/>
            <w:shd w:fill="f8fafc"/>
            <w:tcMar>
              <w:top w:w="100" w:type="dxa"/>
              <w:bottom w:w="100" w:type="dxa"/>
              <w:left w:w="140" w:type="dxa"/>
              <w:right w:w="140" w:type="dxa"/>
            </w:tcMar>
          </w:tcPr>
          <w:p>
            <w:r>
              <w:rPr>
                <w:rFonts w:ascii="Arial" w:hAnsi="Arial"/>
                <w:color w:val="1E293B"/>
                <w:sz w:val="18"/>
              </w:rPr>
              <w:t>Database Entity</w:t>
            </w:r>
          </w:p>
        </w:tc>
        <w:tc>
          <w:tcPr>
            <w:tcW w:type="dxa" w:w="5040"/>
            <w:shd w:fill="f8fafc"/>
            <w:tcMar>
              <w:top w:w="100" w:type="dxa"/>
              <w:bottom w:w="100" w:type="dxa"/>
              <w:left w:w="140" w:type="dxa"/>
              <w:right w:w="140" w:type="dxa"/>
            </w:tcMar>
          </w:tcPr>
          <w:p>
            <w:r>
              <w:rPr>
                <w:rFonts w:ascii="Arial" w:hAnsi="Arial"/>
                <w:color w:val="1E293B"/>
                <w:sz w:val="18"/>
              </w:rPr>
              <w:t>Persistent relational tables (e.g. TabGL Entry, TabBin, TabCustomer Vehicle).</w:t>
            </w:r>
          </w:p>
        </w:tc>
      </w:tr>
    </w:tbl>
    <w:p/>
    <w:p>
      <w:pPr>
        <w:pStyle w:val="Heading1"/>
      </w:pPr>
      <w:r>
        <w:t>5. BUSINESS REQUIREMENTS &amp; SYSTEM ARCHITECTURE</w:t>
      </w:r>
    </w:p>
    <w:p>
      <w:pPr>
        <w:pStyle w:val="Heading2"/>
      </w:pPr>
      <w:r>
        <w:t>5.1 Scope of Requirements &amp; Engagement Parameters</w:t>
      </w:r>
    </w:p>
    <w:tbl>
      <w:tblPr>
        <w:tblW w:type="auto" w:w="0"/>
        <w:jc w:val="center"/>
        <w:tblLook w:firstColumn="1" w:firstRow="1" w:lastColumn="0" w:lastRow="0" w:noHBand="0" w:noVBand="1" w:val="04A0"/>
      </w:tblPr>
      <w:tblGrid>
        <w:gridCol w:w="9936"/>
      </w:tblGrid>
      <w:tr>
        <w:tc>
          <w:tcPr>
            <w:tcW w:type="dxa" w:w="9360"/>
            <w:shd w:fill="f0fdf4"/>
            <w:tcMar>
              <w:top w:w="140" w:type="dxa"/>
              <w:bottom w:w="140" w:type="dxa"/>
              <w:left w:w="180" w:type="dxa"/>
              <w:right w:w="180" w:type="dxa"/>
            </w:tcMar>
          </w:tcPr>
          <w:p>
            <w:r>
              <w:rPr>
                <w:rFonts w:ascii="Arial" w:hAnsi="Arial"/>
                <w:b/>
                <w:color w:val="0F172A"/>
                <w:sz w:val="20"/>
              </w:rPr>
              <w:t>📌 Engagement Parameters (45 + 10 Days)</w:t>
              <w:br/>
            </w:r>
            <w:r>
              <w:rPr>
                <w:rFonts w:ascii="Arial" w:hAnsi="Arial"/>
                <w:color w:val="334155"/>
                <w:sz w:val="18"/>
              </w:rPr>
              <w:t>• Standard Implementation Lifecycle: 45 Working Days (Discovery, Build, Data Migration, Testing, Training, Cutover).</w:t>
              <w:br/>
            </w:r>
            <w:r>
              <w:rPr>
                <w:rFonts w:ascii="Arial" w:hAnsi="Arial"/>
                <w:color w:val="334155"/>
                <w:sz w:val="18"/>
              </w:rPr>
              <w:t>• Change Request (CR) Contingency Buffer: 10 Working Days dedicated to post-discovery scope expansions and custom enhancements.</w:t>
              <w:br/>
            </w:r>
            <w:r>
              <w:rPr>
                <w:rFonts w:ascii="Arial" w:hAnsi="Arial"/>
                <w:color w:val="334155"/>
                <w:sz w:val="18"/>
              </w:rPr>
              <w:t>• Total Dedicated Delivery Window: 55 Working Days.</w:t>
              <w:br/>
            </w:r>
            <w:r>
              <w:rPr>
                <w:rFonts w:ascii="Arial" w:hAnsi="Arial"/>
                <w:color w:val="334155"/>
                <w:sz w:val="18"/>
              </w:rPr>
              <w:t>• Target Concurrent System Users: Up to 500 active concurrent operators across 13 branches and warehouses.</w:t>
              <w:br/>
            </w:r>
            <w:r>
              <w:rPr>
                <w:rFonts w:ascii="Arial" w:hAnsi="Arial"/>
                <w:color w:val="334155"/>
                <w:sz w:val="18"/>
              </w:rPr>
              <w:t>• Primary Deployment Target: Cloud VPS Server (Linux Ubuntu 24.04, Dockerized ERPNext v16, Caddy SSL Reverse Proxy).</w:t>
              <w:br/>
            </w:r>
            <w:r>
              <w:rPr>
                <w:rFonts w:ascii="Arial" w:hAnsi="Arial"/>
                <w:color w:val="334155"/>
                <w:sz w:val="18"/>
              </w:rPr>
              <w:t>• Data Sovereignty: High-availability automated nightly database dumps and persistent file storage.</w:t>
              <w:br/>
            </w:r>
          </w:p>
        </w:tc>
      </w:tr>
    </w:tbl>
    <w:p/>
    <w:p>
      <w:pPr>
        <w:pStyle w:val="Heading2"/>
      </w:pPr>
      <w:r>
        <w:t>5.2 VMS &amp; ERPNext v16 Functional Modules</w:t>
      </w:r>
    </w:p>
    <w:p>
      <w:r>
        <w:t>The solution encompasses seven core operational domains:</w:t>
      </w:r>
    </w:p>
    <w:p>
      <w:r>
        <w:t>1. Workshop Operations &amp; VMS: Complete vehicle lifecycle tracking from intake, preliminary inspection, quotation/estimate, formal Vehicle Job Order (VJO), technician assignment, parts allocation, repair execution, quality assurance, to gate pass release.</w:t>
      </w:r>
    </w:p>
    <w:p>
      <w:r>
        <w:t>2. Point of Sale (POS) &amp; Cashier Shifts: High-speed POS interface designed for automotive express counters, shift opening balances, multi-cashier shift management, card/cash/e-wallet settlements, and thermal receipt printing.</w:t>
      </w:r>
    </w:p>
    <w:p>
      <w:r>
        <w:t>3. Multi-Warehouse &amp; Bin Inventory Logistics: Real-time stock visibility across all 13 entities, automated bin location routing, item-vehicle compatibility matching, cross-reference lookup, receiver safety checks, and physical count (PCount) reconciliation.</w:t>
      </w:r>
    </w:p>
    <w:p>
      <w:r>
        <w:t>4. Multi-Company Financial Accounting: Dynamic consolidated P&amp;L, Balance Sheet, and GL Explorer with real-time currency conversion, branch-wise comparison, and single-click drill-down to underlying vouchers.</w:t>
      </w:r>
    </w:p>
    <w:p>
      <w:r>
        <w:t>5. Hierarchical Exploded Cash Flow: Real-time cash positioning with on-demand drilldown from Year ➔ Month ➔ Individual Operating Days across cash inflows, disbursements, and net cash flow.</w:t>
      </w:r>
    </w:p>
    <w:p>
      <w:r>
        <w:t>6. AR / AP Aging Analysis: Terms-based aging calculations tracking customer receivables and supplier obligations across standard 30, 60, 90, 90+ day buckets based on actual credit terms and invoice due dates.</w:t>
      </w:r>
    </w:p>
    <w:p>
      <w:r>
        <w:t>7. Philippine BIR Tax Compliance: Native generation of BIR Form 2307 withholding certificates, Sales Book, Purchases Book, Cash Receipts Journal, Cash Disbursements Journal, General Journal, and VAT Return 2550.</w:t>
      </w:r>
    </w:p>
    <w:p>
      <w:r>
        <w:br w:type="page"/>
      </w:r>
    </w:p>
    <w:p>
      <w:pPr>
        <w:pStyle w:val="Heading1"/>
      </w:pPr>
      <w:r>
        <w:t>6. MASTER DATA GOVERNANCE &amp; STRUCTURE</w:t>
      </w:r>
    </w:p>
    <w:p>
      <w:pPr>
        <w:pStyle w:val="Heading2"/>
      </w:pPr>
      <w:r>
        <w:t>6.1 Master Data Catalogs</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0f172a"/>
            <w:tcMar>
              <w:top w:w="140" w:type="dxa"/>
              <w:bottom w:w="140" w:type="dxa"/>
              <w:left w:w="160" w:type="dxa"/>
              <w:right w:w="160" w:type="dxa"/>
            </w:tcMar>
          </w:tcPr>
          <w:p>
            <w:pPr>
              <w:jc w:val="left"/>
            </w:pPr>
            <w:r>
              <w:rPr>
                <w:rFonts w:ascii="Arial" w:hAnsi="Arial"/>
                <w:b/>
                <w:color w:val="FFFFFF"/>
                <w:sz w:val="19"/>
              </w:rPr>
              <w:t>Master Data Entity</w:t>
            </w:r>
          </w:p>
        </w:tc>
        <w:tc>
          <w:tcPr>
            <w:tcW w:type="dxa" w:w="3744"/>
            <w:shd w:fill="0f172a"/>
            <w:tcMar>
              <w:top w:w="140" w:type="dxa"/>
              <w:bottom w:w="140" w:type="dxa"/>
              <w:left w:w="160" w:type="dxa"/>
              <w:right w:w="160" w:type="dxa"/>
            </w:tcMar>
          </w:tcPr>
          <w:p>
            <w:pPr>
              <w:jc w:val="left"/>
            </w:pPr>
            <w:r>
              <w:rPr>
                <w:rFonts w:ascii="Arial" w:hAnsi="Arial"/>
                <w:b/>
                <w:color w:val="FFFFFF"/>
                <w:sz w:val="19"/>
              </w:rPr>
              <w:t>Key Attributes / Fields</w:t>
            </w:r>
          </w:p>
        </w:tc>
        <w:tc>
          <w:tcPr>
            <w:tcW w:type="dxa" w:w="3312"/>
            <w:shd w:fill="0f172a"/>
            <w:tcMar>
              <w:top w:w="140" w:type="dxa"/>
              <w:bottom w:w="140" w:type="dxa"/>
              <w:left w:w="160" w:type="dxa"/>
              <w:right w:w="160" w:type="dxa"/>
            </w:tcMar>
          </w:tcPr>
          <w:p>
            <w:pPr>
              <w:jc w:val="left"/>
            </w:pPr>
            <w:r>
              <w:rPr>
                <w:rFonts w:ascii="Arial" w:hAnsi="Arial"/>
                <w:b/>
                <w:color w:val="FFFFFF"/>
                <w:sz w:val="19"/>
              </w:rPr>
              <w:t>Validation &amp; Business Rules</w:t>
            </w:r>
          </w:p>
        </w:tc>
      </w:tr>
      <w:tr>
        <w:tc>
          <w:tcPr>
            <w:tcW w:type="dxa" w:w="2304"/>
            <w:shd w:fill="ffffff"/>
            <w:tcMar>
              <w:top w:w="100" w:type="dxa"/>
              <w:bottom w:w="100" w:type="dxa"/>
              <w:left w:w="140" w:type="dxa"/>
              <w:right w:w="140" w:type="dxa"/>
            </w:tcMar>
          </w:tcPr>
          <w:p>
            <w:r>
              <w:rPr>
                <w:rFonts w:ascii="Arial" w:hAnsi="Arial"/>
                <w:color w:val="1E293B"/>
                <w:sz w:val="18"/>
              </w:rPr>
              <w:t>Customer Vehicle</w:t>
            </w:r>
          </w:p>
        </w:tc>
        <w:tc>
          <w:tcPr>
            <w:tcW w:type="dxa" w:w="3744"/>
            <w:shd w:fill="ffffff"/>
            <w:tcMar>
              <w:top w:w="100" w:type="dxa"/>
              <w:bottom w:w="100" w:type="dxa"/>
              <w:left w:w="140" w:type="dxa"/>
              <w:right w:w="140" w:type="dxa"/>
            </w:tcMar>
          </w:tcPr>
          <w:p>
            <w:r>
              <w:rPr>
                <w:rFonts w:ascii="Arial" w:hAnsi="Arial"/>
                <w:color w:val="1E293B"/>
                <w:sz w:val="18"/>
              </w:rPr>
              <w:t>Plate No, VIN, Chassis No, Engine No, Make, Model, Year, Color, Fuel, Mileage</w:t>
            </w:r>
          </w:p>
        </w:tc>
        <w:tc>
          <w:tcPr>
            <w:tcW w:type="dxa" w:w="3312"/>
            <w:shd w:fill="ffffff"/>
            <w:tcMar>
              <w:top w:w="100" w:type="dxa"/>
              <w:bottom w:w="100" w:type="dxa"/>
              <w:left w:w="140" w:type="dxa"/>
              <w:right w:w="140" w:type="dxa"/>
            </w:tcMar>
          </w:tcPr>
          <w:p>
            <w:r>
              <w:rPr>
                <w:rFonts w:ascii="Arial" w:hAnsi="Arial"/>
                <w:color w:val="1E293B"/>
                <w:sz w:val="18"/>
              </w:rPr>
              <w:t>Plate Number and VIN must be strictly unique. Links directly to Customer Account.</w:t>
            </w:r>
          </w:p>
        </w:tc>
      </w:tr>
      <w:tr>
        <w:tc>
          <w:tcPr>
            <w:tcW w:type="dxa" w:w="2304"/>
            <w:shd w:fill="f8fafc"/>
            <w:tcMar>
              <w:top w:w="100" w:type="dxa"/>
              <w:bottom w:w="100" w:type="dxa"/>
              <w:left w:w="140" w:type="dxa"/>
              <w:right w:w="140" w:type="dxa"/>
            </w:tcMar>
          </w:tcPr>
          <w:p>
            <w:r>
              <w:rPr>
                <w:rFonts w:ascii="Arial" w:hAnsi="Arial"/>
                <w:color w:val="1E293B"/>
                <w:sz w:val="18"/>
              </w:rPr>
              <w:t>Item / Spare Part</w:t>
            </w:r>
          </w:p>
        </w:tc>
        <w:tc>
          <w:tcPr>
            <w:tcW w:type="dxa" w:w="3744"/>
            <w:shd w:fill="f8fafc"/>
            <w:tcMar>
              <w:top w:w="100" w:type="dxa"/>
              <w:bottom w:w="100" w:type="dxa"/>
              <w:left w:w="140" w:type="dxa"/>
              <w:right w:w="140" w:type="dxa"/>
            </w:tcMar>
          </w:tcPr>
          <w:p>
            <w:r>
              <w:rPr>
                <w:rFonts w:ascii="Arial" w:hAnsi="Arial"/>
                <w:color w:val="1E293B"/>
                <w:sz w:val="18"/>
              </w:rPr>
              <w:t>Item Code, Part No, Item Group, Brand, Stock UOM, Valuation Rate, Default Bin</w:t>
            </w:r>
          </w:p>
        </w:tc>
        <w:tc>
          <w:tcPr>
            <w:tcW w:type="dxa" w:w="3312"/>
            <w:shd w:fill="f8fafc"/>
            <w:tcMar>
              <w:top w:w="100" w:type="dxa"/>
              <w:bottom w:w="100" w:type="dxa"/>
              <w:left w:w="140" w:type="dxa"/>
              <w:right w:w="140" w:type="dxa"/>
            </w:tcMar>
          </w:tcPr>
          <w:p>
            <w:r>
              <w:rPr>
                <w:rFonts w:ascii="Arial" w:hAnsi="Arial"/>
                <w:color w:val="1E293B"/>
                <w:sz w:val="18"/>
              </w:rPr>
              <w:t>Enforces serialized or batch tracking where required. Barcode scan-enabled.</w:t>
            </w:r>
          </w:p>
        </w:tc>
      </w:tr>
      <w:tr>
        <w:tc>
          <w:tcPr>
            <w:tcW w:type="dxa" w:w="2304"/>
            <w:shd w:fill="ffffff"/>
            <w:tcMar>
              <w:top w:w="100" w:type="dxa"/>
              <w:bottom w:w="100" w:type="dxa"/>
              <w:left w:w="140" w:type="dxa"/>
              <w:right w:w="140" w:type="dxa"/>
            </w:tcMar>
          </w:tcPr>
          <w:p>
            <w:r>
              <w:rPr>
                <w:rFonts w:ascii="Arial" w:hAnsi="Arial"/>
                <w:color w:val="1E293B"/>
                <w:sz w:val="18"/>
              </w:rPr>
              <w:t>Item Compatibility</w:t>
            </w:r>
          </w:p>
        </w:tc>
        <w:tc>
          <w:tcPr>
            <w:tcW w:type="dxa" w:w="3744"/>
            <w:shd w:fill="ffffff"/>
            <w:tcMar>
              <w:top w:w="100" w:type="dxa"/>
              <w:bottom w:w="100" w:type="dxa"/>
              <w:left w:w="140" w:type="dxa"/>
              <w:right w:w="140" w:type="dxa"/>
            </w:tcMar>
          </w:tcPr>
          <w:p>
            <w:r>
              <w:rPr>
                <w:rFonts w:ascii="Arial" w:hAnsi="Arial"/>
                <w:color w:val="1E293B"/>
                <w:sz w:val="18"/>
              </w:rPr>
              <w:t>Item Code, Vehicle Make, Vehicle Model, Year From, Year To, Engine Type</w:t>
            </w:r>
          </w:p>
        </w:tc>
        <w:tc>
          <w:tcPr>
            <w:tcW w:type="dxa" w:w="3312"/>
            <w:shd w:fill="ffffff"/>
            <w:tcMar>
              <w:top w:w="100" w:type="dxa"/>
              <w:bottom w:w="100" w:type="dxa"/>
              <w:left w:w="140" w:type="dxa"/>
              <w:right w:w="140" w:type="dxa"/>
            </w:tcMar>
          </w:tcPr>
          <w:p>
            <w:r>
              <w:rPr>
                <w:rFonts w:ascii="Arial" w:hAnsi="Arial"/>
                <w:color w:val="1E293B"/>
                <w:sz w:val="18"/>
              </w:rPr>
              <w:t>Filters allowable parts during estimate and job order selection to prevent wrong parts installation.</w:t>
            </w:r>
          </w:p>
        </w:tc>
      </w:tr>
      <w:tr>
        <w:tc>
          <w:tcPr>
            <w:tcW w:type="dxa" w:w="2304"/>
            <w:shd w:fill="f8fafc"/>
            <w:tcMar>
              <w:top w:w="100" w:type="dxa"/>
              <w:bottom w:w="100" w:type="dxa"/>
              <w:left w:w="140" w:type="dxa"/>
              <w:right w:w="140" w:type="dxa"/>
            </w:tcMar>
          </w:tcPr>
          <w:p>
            <w:r>
              <w:rPr>
                <w:rFonts w:ascii="Arial" w:hAnsi="Arial"/>
                <w:color w:val="1E293B"/>
                <w:sz w:val="18"/>
              </w:rPr>
              <w:t>Bin Location</w:t>
            </w:r>
          </w:p>
        </w:tc>
        <w:tc>
          <w:tcPr>
            <w:tcW w:type="dxa" w:w="3744"/>
            <w:shd w:fill="f8fafc"/>
            <w:tcMar>
              <w:top w:w="100" w:type="dxa"/>
              <w:bottom w:w="100" w:type="dxa"/>
              <w:left w:w="140" w:type="dxa"/>
              <w:right w:w="140" w:type="dxa"/>
            </w:tcMar>
          </w:tcPr>
          <w:p>
            <w:r>
              <w:rPr>
                <w:rFonts w:ascii="Arial" w:hAnsi="Arial"/>
                <w:color w:val="1E293B"/>
                <w:sz w:val="18"/>
              </w:rPr>
              <w:t>Bin Name, Warehouse, Rack, Shelf, Bin Code, Capacity Qty</w:t>
            </w:r>
          </w:p>
        </w:tc>
        <w:tc>
          <w:tcPr>
            <w:tcW w:type="dxa" w:w="3312"/>
            <w:shd w:fill="f8fafc"/>
            <w:tcMar>
              <w:top w:w="100" w:type="dxa"/>
              <w:bottom w:w="100" w:type="dxa"/>
              <w:left w:w="140" w:type="dxa"/>
              <w:right w:w="140" w:type="dxa"/>
            </w:tcMar>
          </w:tcPr>
          <w:p>
            <w:r>
              <w:rPr>
                <w:rFonts w:ascii="Arial" w:hAnsi="Arial"/>
                <w:color w:val="1E293B"/>
                <w:sz w:val="18"/>
              </w:rPr>
              <w:t>Automatically assigned during Stock Entry / Purchase Receipt for efficient picking.</w:t>
            </w:r>
          </w:p>
        </w:tc>
      </w:tr>
      <w:tr>
        <w:tc>
          <w:tcPr>
            <w:tcW w:type="dxa" w:w="2304"/>
            <w:shd w:fill="ffffff"/>
            <w:tcMar>
              <w:top w:w="100" w:type="dxa"/>
              <w:bottom w:w="100" w:type="dxa"/>
              <w:left w:w="140" w:type="dxa"/>
              <w:right w:w="140" w:type="dxa"/>
            </w:tcMar>
          </w:tcPr>
          <w:p>
            <w:r>
              <w:rPr>
                <w:rFonts w:ascii="Arial" w:hAnsi="Arial"/>
                <w:color w:val="1E293B"/>
                <w:sz w:val="18"/>
              </w:rPr>
              <w:t>Chart of Accounts</w:t>
            </w:r>
          </w:p>
        </w:tc>
        <w:tc>
          <w:tcPr>
            <w:tcW w:type="dxa" w:w="3744"/>
            <w:shd w:fill="ffffff"/>
            <w:tcMar>
              <w:top w:w="100" w:type="dxa"/>
              <w:bottom w:w="100" w:type="dxa"/>
              <w:left w:w="140" w:type="dxa"/>
              <w:right w:w="140" w:type="dxa"/>
            </w:tcMar>
          </w:tcPr>
          <w:p>
            <w:r>
              <w:rPr>
                <w:rFonts w:ascii="Arial" w:hAnsi="Arial"/>
                <w:color w:val="1E293B"/>
                <w:sz w:val="18"/>
              </w:rPr>
              <w:t>Account Code, Account Name, Root Type, Account Type, Currency, Company</w:t>
            </w:r>
          </w:p>
        </w:tc>
        <w:tc>
          <w:tcPr>
            <w:tcW w:type="dxa" w:w="3312"/>
            <w:shd w:fill="ffffff"/>
            <w:tcMar>
              <w:top w:w="100" w:type="dxa"/>
              <w:bottom w:w="100" w:type="dxa"/>
              <w:left w:w="140" w:type="dxa"/>
              <w:right w:w="140" w:type="dxa"/>
            </w:tcMar>
          </w:tcPr>
          <w:p>
            <w:r>
              <w:rPr>
                <w:rFonts w:ascii="Arial" w:hAnsi="Arial"/>
                <w:color w:val="1E293B"/>
                <w:sz w:val="18"/>
              </w:rPr>
              <w:t>Unified multi-company chart of accounts with standard 5-digit BIR compliant naming.</w:t>
            </w:r>
          </w:p>
        </w:tc>
      </w:tr>
      <w:tr>
        <w:tc>
          <w:tcPr>
            <w:tcW w:type="dxa" w:w="2304"/>
            <w:shd w:fill="f8fafc"/>
            <w:tcMar>
              <w:top w:w="100" w:type="dxa"/>
              <w:bottom w:w="100" w:type="dxa"/>
              <w:left w:w="140" w:type="dxa"/>
              <w:right w:w="140" w:type="dxa"/>
            </w:tcMar>
          </w:tcPr>
          <w:p>
            <w:r>
              <w:rPr>
                <w:rFonts w:ascii="Arial" w:hAnsi="Arial"/>
                <w:color w:val="1E293B"/>
                <w:sz w:val="18"/>
              </w:rPr>
              <w:t>Supplier / Vendor</w:t>
            </w:r>
          </w:p>
        </w:tc>
        <w:tc>
          <w:tcPr>
            <w:tcW w:type="dxa" w:w="3744"/>
            <w:shd w:fill="f8fafc"/>
            <w:tcMar>
              <w:top w:w="100" w:type="dxa"/>
              <w:bottom w:w="100" w:type="dxa"/>
              <w:left w:w="140" w:type="dxa"/>
              <w:right w:w="140" w:type="dxa"/>
            </w:tcMar>
          </w:tcPr>
          <w:p>
            <w:r>
              <w:rPr>
                <w:rFonts w:ascii="Arial" w:hAnsi="Arial"/>
                <w:color w:val="1E293B"/>
                <w:sz w:val="18"/>
              </w:rPr>
              <w:t>Supplier Name, Tax ID (TIN), Address, Payment Terms, Bank Details, EWT Rate</w:t>
            </w:r>
          </w:p>
        </w:tc>
        <w:tc>
          <w:tcPr>
            <w:tcW w:type="dxa" w:w="3312"/>
            <w:shd w:fill="f8fafc"/>
            <w:tcMar>
              <w:top w:w="100" w:type="dxa"/>
              <w:bottom w:w="100" w:type="dxa"/>
              <w:left w:w="140" w:type="dxa"/>
              <w:right w:w="140" w:type="dxa"/>
            </w:tcMar>
          </w:tcPr>
          <w:p>
            <w:r>
              <w:rPr>
                <w:rFonts w:ascii="Arial" w:hAnsi="Arial"/>
                <w:color w:val="1E293B"/>
                <w:sz w:val="18"/>
              </w:rPr>
              <w:t>Required for 2307 generation and purchase order procurement.</w:t>
            </w:r>
          </w:p>
        </w:tc>
      </w:tr>
      <w:tr>
        <w:tc>
          <w:tcPr>
            <w:tcW w:type="dxa" w:w="2304"/>
            <w:shd w:fill="ffffff"/>
            <w:tcMar>
              <w:top w:w="100" w:type="dxa"/>
              <w:bottom w:w="100" w:type="dxa"/>
              <w:left w:w="140" w:type="dxa"/>
              <w:right w:w="140" w:type="dxa"/>
            </w:tcMar>
          </w:tcPr>
          <w:p>
            <w:r>
              <w:rPr>
                <w:rFonts w:ascii="Arial" w:hAnsi="Arial"/>
                <w:color w:val="1E293B"/>
                <w:sz w:val="18"/>
              </w:rPr>
              <w:t>Employee / Technician</w:t>
            </w:r>
          </w:p>
        </w:tc>
        <w:tc>
          <w:tcPr>
            <w:tcW w:type="dxa" w:w="3744"/>
            <w:shd w:fill="ffffff"/>
            <w:tcMar>
              <w:top w:w="100" w:type="dxa"/>
              <w:bottom w:w="100" w:type="dxa"/>
              <w:left w:w="140" w:type="dxa"/>
              <w:right w:w="140" w:type="dxa"/>
            </w:tcMar>
          </w:tcPr>
          <w:p>
            <w:r>
              <w:rPr>
                <w:rFonts w:ascii="Arial" w:hAnsi="Arial"/>
                <w:color w:val="1E293B"/>
                <w:sz w:val="18"/>
              </w:rPr>
              <w:t>Employee ID, Full Name, Designation, Department, Branch, Skill Level, QR Badge</w:t>
            </w:r>
          </w:p>
        </w:tc>
        <w:tc>
          <w:tcPr>
            <w:tcW w:type="dxa" w:w="3312"/>
            <w:shd w:fill="ffffff"/>
            <w:tcMar>
              <w:top w:w="100" w:type="dxa"/>
              <w:bottom w:w="100" w:type="dxa"/>
              <w:left w:w="140" w:type="dxa"/>
              <w:right w:w="140" w:type="dxa"/>
            </w:tcMar>
          </w:tcPr>
          <w:p>
            <w:r>
              <w:rPr>
                <w:rFonts w:ascii="Arial" w:hAnsi="Arial"/>
                <w:color w:val="1E293B"/>
                <w:sz w:val="18"/>
              </w:rPr>
              <w:t>QR-enabled employee badges for rapid technician tagging on Job Orders.</w:t>
            </w:r>
          </w:p>
        </w:tc>
      </w:tr>
    </w:tbl>
    <w:p/>
    <w:p>
      <w:pPr>
        <w:pStyle w:val="Heading1"/>
      </w:pPr>
      <w:r>
        <w:t>7. CORE BUSINESS PROCESS FLOWS &amp; OPERATIONAL RUNBOOKS</w:t>
      </w:r>
    </w:p>
    <w:p>
      <w:pPr>
        <w:pStyle w:val="Heading2"/>
      </w:pPr>
      <w:r>
        <w:t>7.1 Process 1: Vehicle Intake, Inspection &amp; Estimate (Quotation)</w:t>
      </w:r>
    </w:p>
    <w:tbl>
      <w:tblPr>
        <w:tblW w:type="auto" w:w="0"/>
        <w:jc w:val="center"/>
        <w:tblLook w:firstColumn="1" w:firstRow="1" w:lastColumn="0" w:lastRow="0" w:noHBand="0" w:noVBand="1" w:val="04A0"/>
      </w:tblPr>
      <w:tblGrid>
        <w:gridCol w:w="9936"/>
      </w:tblGrid>
      <w:tr>
        <w:tc>
          <w:tcPr>
            <w:tcW w:type="dxa" w:w="9360"/>
            <w:shd w:fill="f0f9ff"/>
            <w:tcMar>
              <w:top w:w="140" w:type="dxa"/>
              <w:bottom w:w="140" w:type="dxa"/>
              <w:left w:w="180" w:type="dxa"/>
              <w:right w:w="180" w:type="dxa"/>
            </w:tcMar>
          </w:tcPr>
          <w:p>
            <w:r>
              <w:rPr>
                <w:rFonts w:ascii="Arial" w:hAnsi="Arial"/>
                <w:b/>
                <w:color w:val="0F172A"/>
                <w:sz w:val="20"/>
              </w:rPr>
              <w:t>📌 Vehicle Intake &amp; Estimate Runbook</w:t>
              <w:br/>
            </w:r>
            <w:r>
              <w:rPr>
                <w:rFonts w:ascii="Arial" w:hAnsi="Arial"/>
                <w:color w:val="334155"/>
                <w:sz w:val="18"/>
              </w:rPr>
              <w:t>• Step 1: Vehicle arrives at Automan / ULTRA MRF service bay. Service Advisor scans plate number or searches VIN.</w:t>
              <w:br/>
            </w:r>
            <w:r>
              <w:rPr>
                <w:rFonts w:ascii="Arial" w:hAnsi="Arial"/>
                <w:color w:val="334155"/>
                <w:sz w:val="18"/>
              </w:rPr>
              <w:t>• Step 2: If vehicle is new, Service Advisor registers Customer Vehicle record with Make, Model, Fuel, and Mileage.</w:t>
              <w:br/>
            </w:r>
            <w:r>
              <w:rPr>
                <w:rFonts w:ascii="Arial" w:hAnsi="Arial"/>
                <w:color w:val="334155"/>
                <w:sz w:val="18"/>
              </w:rPr>
              <w:t>• Step 3: Service Advisor conducts Vehicle Inspection (VI) recording exterior body condition, tire tread depth, battery health, and customer complaints.</w:t>
              <w:br/>
            </w:r>
            <w:r>
              <w:rPr>
                <w:rFonts w:ascii="Arial" w:hAnsi="Arial"/>
                <w:color w:val="334155"/>
                <w:sz w:val="18"/>
              </w:rPr>
              <w:t>• Step 4: System auto-populates Vehicle Estimate (VE) with recommended service packages, labor charges, and spare parts filtered by Item-Vehicle Compatibility.</w:t>
              <w:br/>
            </w:r>
            <w:r>
              <w:rPr>
                <w:rFonts w:ascii="Arial" w:hAnsi="Arial"/>
                <w:color w:val="334155"/>
                <w:sz w:val="18"/>
              </w:rPr>
              <w:t>• Step 5: Customer reviews and approves Estimate via digital signature or physical printout.</w:t>
              <w:br/>
            </w:r>
            <w:r>
              <w:rPr>
                <w:rFonts w:ascii="Arial" w:hAnsi="Arial"/>
                <w:color w:val="334155"/>
                <w:sz w:val="18"/>
              </w:rPr>
              <w:t>• Step 6: On customer confirmation, Estimate is converted to an active Vehicle Job Order (VJO) with 1 click.</w:t>
              <w:br/>
            </w:r>
          </w:p>
        </w:tc>
      </w:tr>
    </w:tbl>
    <w:p/>
    <w:p>
      <w:pPr>
        <w:pStyle w:val="Heading2"/>
      </w:pPr>
      <w:r>
        <w:t>7.2 Process 2: Vehicle Job Order (VJO) Execution &amp; Part Allocation</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Pr>
          <w:p>
            <w:r>
              <w:rPr>
                <w:rFonts w:ascii="Arial" w:hAnsi="Arial"/>
                <w:b/>
                <w:color w:val="0F172A"/>
                <w:sz w:val="20"/>
              </w:rPr>
              <w:t>📌 VJO Execution Runbook</w:t>
              <w:br/>
            </w:r>
            <w:r>
              <w:rPr>
                <w:rFonts w:ascii="Arial" w:hAnsi="Arial"/>
                <w:color w:val="334155"/>
                <w:sz w:val="18"/>
              </w:rPr>
              <w:t>• Step 1: Job Order is dispatched to Lead Technician. Technician badge is scanned via QR Code reader.</w:t>
              <w:br/>
            </w:r>
            <w:r>
              <w:rPr>
                <w:rFonts w:ascii="Arial" w:hAnsi="Arial"/>
                <w:color w:val="334155"/>
                <w:sz w:val="18"/>
              </w:rPr>
              <w:t>• Step 2: Parts requisition triggers automated warehouse check. Parts are reserved from branch Stock.</w:t>
              <w:br/>
            </w:r>
            <w:r>
              <w:rPr>
                <w:rFonts w:ascii="Arial" w:hAnsi="Arial"/>
                <w:color w:val="334155"/>
                <w:sz w:val="18"/>
              </w:rPr>
              <w:t>• Step 3: Parts Custodian executes Material Issue against VJO, moving parts from Bin Location to Work-in-Progress (WIP).</w:t>
              <w:br/>
            </w:r>
            <w:r>
              <w:rPr>
                <w:rFonts w:ascii="Arial" w:hAnsi="Arial"/>
                <w:color w:val="334155"/>
                <w:sz w:val="18"/>
              </w:rPr>
              <w:t>• Step 4: Technician completes mechanical/electrical service tasks and logs completion timestamps.</w:t>
              <w:br/>
            </w:r>
            <w:r>
              <w:rPr>
                <w:rFonts w:ascii="Arial" w:hAnsi="Arial"/>
                <w:color w:val="334155"/>
                <w:sz w:val="18"/>
              </w:rPr>
              <w:t>• Step 5: Quality Assurance (QA) Inspector executes final road test checklist and signs off VJO as 'Ready for Billing'.</w:t>
              <w:br/>
            </w:r>
          </w:p>
        </w:tc>
      </w:tr>
    </w:tbl>
    <w:p/>
    <w:p>
      <w:pPr>
        <w:pStyle w:val="Heading2"/>
      </w:pPr>
      <w:r>
        <w:t>7.3 Process 3: Point of Sale (POS) Billing &amp; Cashier Shift Governance</w:t>
      </w:r>
    </w:p>
    <w:tbl>
      <w:tblPr>
        <w:tblW w:type="auto" w:w="0"/>
        <w:jc w:val="center"/>
        <w:tblLook w:firstColumn="1" w:firstRow="1" w:lastColumn="0" w:lastRow="0" w:noHBand="0" w:noVBand="1" w:val="04A0"/>
      </w:tblPr>
      <w:tblGrid>
        <w:gridCol w:w="9936"/>
      </w:tblGrid>
      <w:tr>
        <w:tc>
          <w:tcPr>
            <w:tcW w:type="dxa" w:w="9360"/>
            <w:shd w:fill="f0fdf4"/>
            <w:tcMar>
              <w:top w:w="140" w:type="dxa"/>
              <w:bottom w:w="140" w:type="dxa"/>
              <w:left w:w="180" w:type="dxa"/>
              <w:right w:w="180" w:type="dxa"/>
            </w:tcMar>
          </w:tcPr>
          <w:p>
            <w:r>
              <w:rPr>
                <w:rFonts w:ascii="Arial" w:hAnsi="Arial"/>
                <w:b/>
                <w:color w:val="0F172A"/>
                <w:sz w:val="20"/>
              </w:rPr>
              <w:t>📌 Cashier Shift &amp; Billing Protocol</w:t>
              <w:br/>
            </w:r>
            <w:r>
              <w:rPr>
                <w:rFonts w:ascii="Arial" w:hAnsi="Arial"/>
                <w:color w:val="334155"/>
                <w:sz w:val="18"/>
              </w:rPr>
              <w:t>• Step 1: Cashier opens shift by entering cash float opening balance in POS Opening Voucher.</w:t>
              <w:br/>
            </w:r>
            <w:r>
              <w:rPr>
                <w:rFonts w:ascii="Arial" w:hAnsi="Arial"/>
                <w:color w:val="334155"/>
                <w:sz w:val="18"/>
              </w:rPr>
              <w:t>• Step 2: Cashier pulls 'Ready for Billing' VJO or encodes direct OTC counter sale.</w:t>
              <w:br/>
            </w:r>
            <w:r>
              <w:rPr>
                <w:rFonts w:ascii="Arial" w:hAnsi="Arial"/>
                <w:color w:val="334155"/>
                <w:sz w:val="18"/>
              </w:rPr>
              <w:t>• Step 3: System validates stock availability, applies pre-configured pricing, and computes VAT/discounts.</w:t>
              <w:br/>
            </w:r>
            <w:r>
              <w:rPr>
                <w:rFonts w:ascii="Arial" w:hAnsi="Arial"/>
                <w:color w:val="334155"/>
                <w:sz w:val="18"/>
              </w:rPr>
              <w:t>• Step 4: Payment is collected via multi-mode split: Cash, Credit Card, GCash, Maya, Bank Transfer, or Accounts Receivable Charge.</w:t>
              <w:br/>
            </w:r>
            <w:r>
              <w:rPr>
                <w:rFonts w:ascii="Arial" w:hAnsi="Arial"/>
                <w:color w:val="334155"/>
                <w:sz w:val="18"/>
              </w:rPr>
              <w:t>• Step 5: POS Invoice is submitted, auto-creating Sales Invoice, Stock Ledger Entry, and General Ledger debit/credit postings.</w:t>
              <w:br/>
            </w:r>
            <w:r>
              <w:rPr>
                <w:rFonts w:ascii="Arial" w:hAnsi="Arial"/>
                <w:color w:val="334155"/>
                <w:sz w:val="18"/>
              </w:rPr>
              <w:t>• Step 6: Shift Closing: Cashier counts physical cash, prints Shift Summary report, and submits POS Closing Voucher for Supervisor audit.</w:t>
              <w:br/>
            </w:r>
          </w:p>
        </w:tc>
      </w:tr>
    </w:tbl>
    <w:p/>
    <w:p>
      <w:pPr>
        <w:pStyle w:val="Heading2"/>
      </w:pPr>
      <w:r>
        <w:t>7.4 Process 4: Procure-to-Pay (P2P) &amp; Automated Stock Entry Receiving</w:t>
      </w:r>
    </w:p>
    <w:p>
      <w:r>
        <w:t>Material replenishment is triggered by Minimum Inventory Level (MIL) alerts. Purchase Orders (PO) submitted to vendors require three-way matching against Purchase Receipt (PR) and Supplier Purchase Invoice (PI).</w:t>
      </w:r>
    </w:p>
    <w:p>
      <w:r>
        <w:t>Receiver Safety Check Customization: Enforces that receiving staff must confirm package integrity, part verification, and bin location assignment before Stock Ledger Entry is permanently committed.</w:t>
      </w:r>
    </w:p>
    <w:p>
      <w:pPr>
        <w:pStyle w:val="Heading2"/>
      </w:pPr>
      <w:r>
        <w:t>7.5 Process 5: Multi-Branch Transfers &amp; Physical Count (PCount) Audit</w:t>
      </w:r>
    </w:p>
    <w:p>
      <w:r>
        <w:t>Inter-branch stock transfers operate under structured 'In-Transit' governance: Releasing branch issues Stock Entry (Material Transfer), moving goods to 'In-Transit Warehouse'. Receiving branch verifies physical parts, scans serials/barcodes, and completes receipt into local bins.</w:t>
      </w:r>
    </w:p>
    <w:p>
      <w:r>
        <w:t>Physical Inventory Count (PCount) module allows scheduled cycle counts and blind audits. Discrepancies between system on-hand balances and physical counts generate automatic Stock Reconciliation vouchers subject to General Manager sign-off.</w:t>
      </w:r>
    </w:p>
    <w:p>
      <w:r>
        <w:br w:type="page"/>
      </w:r>
    </w:p>
    <w:p>
      <w:pPr>
        <w:pStyle w:val="Heading1"/>
      </w:pPr>
      <w:r>
        <w:t>8. MULTI-COMPANY FINANCIAL SUITE &amp; CASH FLOW ARCHITECTURE</w:t>
      </w:r>
    </w:p>
    <w:p>
      <w:pPr>
        <w:pStyle w:val="Heading2"/>
      </w:pPr>
      <w:r>
        <w:t>8.1 Hierarchical Exploded Cash Flow Statement (Daily, Monthly, Yearly)</w:t>
      </w:r>
    </w:p>
    <w:p>
      <w:r>
        <w:t>A core innovation in the Automan ERPNext v16 deployment is the live Exploded Horizontal Cash Flow engine:</w:t>
      </w:r>
    </w:p>
    <w:tbl>
      <w:tblPr>
        <w:tblW w:type="auto" w:w="0"/>
        <w:jc w:val="center"/>
        <w:tblLook w:firstColumn="1" w:firstRow="1" w:lastColumn="0" w:lastRow="0" w:noHBand="0" w:noVBand="1" w:val="04A0"/>
      </w:tblPr>
      <w:tblGrid>
        <w:gridCol w:w="9936"/>
      </w:tblGrid>
      <w:tr>
        <w:tc>
          <w:tcPr>
            <w:tcW w:type="dxa" w:w="9360"/>
            <w:shd w:fill="f0fdf4"/>
            <w:tcMar>
              <w:top w:w="140" w:type="dxa"/>
              <w:bottom w:w="140" w:type="dxa"/>
              <w:left w:w="180" w:type="dxa"/>
              <w:right w:w="180" w:type="dxa"/>
            </w:tcMar>
          </w:tcPr>
          <w:p>
            <w:r>
              <w:rPr>
                <w:rFonts w:ascii="Arial" w:hAnsi="Arial"/>
                <w:b/>
                <w:color w:val="0F172A"/>
                <w:sz w:val="20"/>
              </w:rPr>
              <w:t>📌 Exploded Cash Flow Engine Architecture</w:t>
              <w:br/>
            </w:r>
            <w:r>
              <w:rPr>
                <w:rFonts w:ascii="Arial" w:hAnsi="Arial"/>
                <w:color w:val="334155"/>
                <w:sz w:val="18"/>
              </w:rPr>
              <w:t>• Hierarchical Structure: Rows represent fixed financial activities (Opening Cash Balance, Operating Inflows, Operating Outflows, Net Cash Flow, Closing Cash Balance).</w:t>
              <w:br/>
            </w:r>
            <w:r>
              <w:rPr>
                <w:rFonts w:ascii="Arial" w:hAnsi="Arial"/>
                <w:color w:val="334155"/>
                <w:sz w:val="18"/>
              </w:rPr>
              <w:t>• Horizontal Time Axis: Columns dynamically represent time periods (Years ➔ Months ➔ Days).</w:t>
              <w:br/>
            </w:r>
            <w:r>
              <w:rPr>
                <w:rFonts w:ascii="Arial" w:hAnsi="Arial"/>
                <w:color w:val="334155"/>
                <w:sz w:val="18"/>
              </w:rPr>
              <w:t>• Interactive Drilldown: Clicking any Year expands into 12 constituent Months; clicking any Month explodes into all individual operating Days.</w:t>
              <w:br/>
            </w:r>
            <w:r>
              <w:rPr>
                <w:rFonts w:ascii="Arial" w:hAnsi="Arial"/>
                <w:color w:val="334155"/>
                <w:sz w:val="18"/>
              </w:rPr>
              <w:t>• Scoping Control: Operators can view Consolidated Group totals or isolate any single operating company with instantaneous recalculation.</w:t>
              <w:br/>
            </w:r>
            <w:r>
              <w:rPr>
                <w:rFonts w:ascii="Arial" w:hAnsi="Arial"/>
                <w:color w:val="334155"/>
                <w:sz w:val="18"/>
              </w:rPr>
              <w:t>• Excel Export &amp; Print: Full formatted .xlsx workbooks and clean landscape print stylesheets built natively into the console.</w:t>
              <w:br/>
            </w:r>
          </w:p>
        </w:tc>
      </w:tr>
    </w:tbl>
    <w:p/>
    <w:p>
      <w:pPr>
        <w:pStyle w:val="Heading2"/>
      </w:pPr>
      <w:r>
        <w:t>8.2 AR &amp; AP Aging Analysis Engine (Terms &amp; Credit Date Based)</w:t>
      </w:r>
    </w:p>
    <w:p>
      <w:r>
        <w:t>Unlike legacy systems that calculate aging based solely on invoice posting date, the Automan ERPNext engine calculates overdue aging based on agreed credit terms (e.g. Net 30, Net 60) and actual payment due dates: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40" w:type="dxa"/>
              <w:bottom w:w="140" w:type="dxa"/>
              <w:left w:w="160" w:type="dxa"/>
              <w:right w:w="160" w:type="dxa"/>
            </w:tcMar>
          </w:tcPr>
          <w:p>
            <w:pPr>
              <w:jc w:val="left"/>
            </w:pPr>
            <w:r>
              <w:rPr>
                <w:rFonts w:ascii="Arial" w:hAnsi="Arial"/>
                <w:b/>
                <w:color w:val="FFFFFF"/>
                <w:sz w:val="19"/>
              </w:rPr>
              <w:t>Aging Bracket</w:t>
            </w:r>
          </w:p>
        </w:tc>
        <w:tc>
          <w:tcPr>
            <w:tcW w:type="dxa" w:w="2160"/>
            <w:shd w:fill="0f172a"/>
            <w:tcMar>
              <w:top w:w="140" w:type="dxa"/>
              <w:bottom w:w="140" w:type="dxa"/>
              <w:left w:w="160" w:type="dxa"/>
              <w:right w:w="160" w:type="dxa"/>
            </w:tcMar>
          </w:tcPr>
          <w:p>
            <w:pPr>
              <w:jc w:val="left"/>
            </w:pPr>
            <w:r>
              <w:rPr>
                <w:rFonts w:ascii="Arial" w:hAnsi="Arial"/>
                <w:b/>
                <w:color w:val="FFFFFF"/>
                <w:sz w:val="19"/>
              </w:rPr>
              <w:t>Days Range</w:t>
            </w:r>
          </w:p>
        </w:tc>
        <w:tc>
          <w:tcPr>
            <w:tcW w:type="dxa" w:w="4608"/>
            <w:shd w:fill="0f172a"/>
            <w:tcMar>
              <w:top w:w="140" w:type="dxa"/>
              <w:bottom w:w="140" w:type="dxa"/>
              <w:left w:w="160" w:type="dxa"/>
              <w:right w:w="160" w:type="dxa"/>
            </w:tcMar>
          </w:tcPr>
          <w:p>
            <w:pPr>
              <w:jc w:val="left"/>
            </w:pPr>
            <w:r>
              <w:rPr>
                <w:rFonts w:ascii="Arial" w:hAnsi="Arial"/>
                <w:b/>
                <w:color w:val="FFFFFF"/>
                <w:sz w:val="19"/>
              </w:rPr>
              <w:t>Operational Significance &amp; Credit Control Action</w:t>
            </w:r>
          </w:p>
        </w:tc>
      </w:tr>
      <w:tr>
        <w:tc>
          <w:tcPr>
            <w:tcW w:type="dxa" w:w="2592"/>
            <w:shd w:fill="ffffff"/>
            <w:tcMar>
              <w:top w:w="100" w:type="dxa"/>
              <w:bottom w:w="100" w:type="dxa"/>
              <w:left w:w="140" w:type="dxa"/>
              <w:right w:w="140" w:type="dxa"/>
            </w:tcMar>
          </w:tcPr>
          <w:p>
            <w:r>
              <w:rPr>
                <w:rFonts w:ascii="Arial" w:hAnsi="Arial"/>
                <w:color w:val="1E293B"/>
                <w:sz w:val="18"/>
              </w:rPr>
              <w:t>Current / Not Due</w:t>
            </w:r>
          </w:p>
        </w:tc>
        <w:tc>
          <w:tcPr>
            <w:tcW w:type="dxa" w:w="2160"/>
            <w:shd w:fill="ffffff"/>
            <w:tcMar>
              <w:top w:w="100" w:type="dxa"/>
              <w:bottom w:w="100" w:type="dxa"/>
              <w:left w:w="140" w:type="dxa"/>
              <w:right w:w="140" w:type="dxa"/>
            </w:tcMar>
          </w:tcPr>
          <w:p>
            <w:r>
              <w:rPr>
                <w:rFonts w:ascii="Arial" w:hAnsi="Arial"/>
                <w:color w:val="1E293B"/>
                <w:sz w:val="18"/>
              </w:rPr>
              <w:t>≤ 0 Days Overdue</w:t>
            </w:r>
          </w:p>
        </w:tc>
        <w:tc>
          <w:tcPr>
            <w:tcW w:type="dxa" w:w="4608"/>
            <w:shd w:fill="ffffff"/>
            <w:tcMar>
              <w:top w:w="100" w:type="dxa"/>
              <w:bottom w:w="100" w:type="dxa"/>
              <w:left w:w="140" w:type="dxa"/>
              <w:right w:w="140" w:type="dxa"/>
            </w:tcMar>
          </w:tcPr>
          <w:p>
            <w:r>
              <w:rPr>
                <w:rFonts w:ascii="Arial" w:hAnsi="Arial"/>
                <w:color w:val="1E293B"/>
                <w:sz w:val="18"/>
              </w:rPr>
              <w:t>Invoices within agreed credit term grace period. No collection action required.</w:t>
            </w:r>
          </w:p>
        </w:tc>
      </w:tr>
      <w:tr>
        <w:tc>
          <w:tcPr>
            <w:tcW w:type="dxa" w:w="2592"/>
            <w:shd w:fill="f8fafc"/>
            <w:tcMar>
              <w:top w:w="100" w:type="dxa"/>
              <w:bottom w:w="100" w:type="dxa"/>
              <w:left w:w="140" w:type="dxa"/>
              <w:right w:w="140" w:type="dxa"/>
            </w:tcMar>
          </w:tcPr>
          <w:p>
            <w:r>
              <w:rPr>
                <w:rFonts w:ascii="Arial" w:hAnsi="Arial"/>
                <w:color w:val="1E293B"/>
                <w:sz w:val="18"/>
              </w:rPr>
              <w:t>1 – 30 Days Overdue</w:t>
            </w:r>
          </w:p>
        </w:tc>
        <w:tc>
          <w:tcPr>
            <w:tcW w:type="dxa" w:w="2160"/>
            <w:shd w:fill="f8fafc"/>
            <w:tcMar>
              <w:top w:w="100" w:type="dxa"/>
              <w:bottom w:w="100" w:type="dxa"/>
              <w:left w:w="140" w:type="dxa"/>
              <w:right w:w="140" w:type="dxa"/>
            </w:tcMar>
          </w:tcPr>
          <w:p>
            <w:r>
              <w:rPr>
                <w:rFonts w:ascii="Arial" w:hAnsi="Arial"/>
                <w:color w:val="1E293B"/>
                <w:sz w:val="18"/>
              </w:rPr>
              <w:t>1 to 30 Days</w:t>
            </w:r>
          </w:p>
        </w:tc>
        <w:tc>
          <w:tcPr>
            <w:tcW w:type="dxa" w:w="4608"/>
            <w:shd w:fill="f8fafc"/>
            <w:tcMar>
              <w:top w:w="100" w:type="dxa"/>
              <w:bottom w:w="100" w:type="dxa"/>
              <w:left w:w="140" w:type="dxa"/>
              <w:right w:w="140" w:type="dxa"/>
            </w:tcMar>
          </w:tcPr>
          <w:p>
            <w:r>
              <w:rPr>
                <w:rFonts w:ascii="Arial" w:hAnsi="Arial"/>
                <w:color w:val="1E293B"/>
                <w:sz w:val="18"/>
              </w:rPr>
              <w:t>First notice reminder issued to customer/fleet account. Standard follow-up.</w:t>
            </w:r>
          </w:p>
        </w:tc>
      </w:tr>
      <w:tr>
        <w:tc>
          <w:tcPr>
            <w:tcW w:type="dxa" w:w="2592"/>
            <w:shd w:fill="ffffff"/>
            <w:tcMar>
              <w:top w:w="100" w:type="dxa"/>
              <w:bottom w:w="100" w:type="dxa"/>
              <w:left w:w="140" w:type="dxa"/>
              <w:right w:w="140" w:type="dxa"/>
            </w:tcMar>
          </w:tcPr>
          <w:p>
            <w:r>
              <w:rPr>
                <w:rFonts w:ascii="Arial" w:hAnsi="Arial"/>
                <w:color w:val="1E293B"/>
                <w:sz w:val="18"/>
              </w:rPr>
              <w:t>31 – 60 Days Overdue</w:t>
            </w:r>
          </w:p>
        </w:tc>
        <w:tc>
          <w:tcPr>
            <w:tcW w:type="dxa" w:w="2160"/>
            <w:shd w:fill="ffffff"/>
            <w:tcMar>
              <w:top w:w="100" w:type="dxa"/>
              <w:bottom w:w="100" w:type="dxa"/>
              <w:left w:w="140" w:type="dxa"/>
              <w:right w:w="140" w:type="dxa"/>
            </w:tcMar>
          </w:tcPr>
          <w:p>
            <w:r>
              <w:rPr>
                <w:rFonts w:ascii="Arial" w:hAnsi="Arial"/>
                <w:color w:val="1E293B"/>
                <w:sz w:val="18"/>
              </w:rPr>
              <w:t>31 to 60 Days</w:t>
            </w:r>
          </w:p>
        </w:tc>
        <w:tc>
          <w:tcPr>
            <w:tcW w:type="dxa" w:w="4608"/>
            <w:shd w:fill="ffffff"/>
            <w:tcMar>
              <w:top w:w="100" w:type="dxa"/>
              <w:bottom w:w="100" w:type="dxa"/>
              <w:left w:w="140" w:type="dxa"/>
              <w:right w:w="140" w:type="dxa"/>
            </w:tcMar>
          </w:tcPr>
          <w:p>
            <w:r>
              <w:rPr>
                <w:rFonts w:ascii="Arial" w:hAnsi="Arial"/>
                <w:color w:val="1E293B"/>
                <w:sz w:val="18"/>
              </w:rPr>
              <w:t>Second formal demand letter. Account flagged for credit hold on new work orders.</w:t>
            </w:r>
          </w:p>
        </w:tc>
      </w:tr>
      <w:tr>
        <w:tc>
          <w:tcPr>
            <w:tcW w:type="dxa" w:w="2592"/>
            <w:shd w:fill="f8fafc"/>
            <w:tcMar>
              <w:top w:w="100" w:type="dxa"/>
              <w:bottom w:w="100" w:type="dxa"/>
              <w:left w:w="140" w:type="dxa"/>
              <w:right w:w="140" w:type="dxa"/>
            </w:tcMar>
          </w:tcPr>
          <w:p>
            <w:r>
              <w:rPr>
                <w:rFonts w:ascii="Arial" w:hAnsi="Arial"/>
                <w:color w:val="1E293B"/>
                <w:sz w:val="18"/>
              </w:rPr>
              <w:t>61 – 90 Days Overdue</w:t>
            </w:r>
          </w:p>
        </w:tc>
        <w:tc>
          <w:tcPr>
            <w:tcW w:type="dxa" w:w="2160"/>
            <w:shd w:fill="f8fafc"/>
            <w:tcMar>
              <w:top w:w="100" w:type="dxa"/>
              <w:bottom w:w="100" w:type="dxa"/>
              <w:left w:w="140" w:type="dxa"/>
              <w:right w:w="140" w:type="dxa"/>
            </w:tcMar>
          </w:tcPr>
          <w:p>
            <w:r>
              <w:rPr>
                <w:rFonts w:ascii="Arial" w:hAnsi="Arial"/>
                <w:color w:val="1E293B"/>
                <w:sz w:val="18"/>
              </w:rPr>
              <w:t>61 to 90 Days</w:t>
            </w:r>
          </w:p>
        </w:tc>
        <w:tc>
          <w:tcPr>
            <w:tcW w:type="dxa" w:w="4608"/>
            <w:shd w:fill="f8fafc"/>
            <w:tcMar>
              <w:top w:w="100" w:type="dxa"/>
              <w:bottom w:w="100" w:type="dxa"/>
              <w:left w:w="140" w:type="dxa"/>
              <w:right w:w="140" w:type="dxa"/>
            </w:tcMar>
          </w:tcPr>
          <w:p>
            <w:r>
              <w:rPr>
                <w:rFonts w:ascii="Arial" w:hAnsi="Arial"/>
                <w:color w:val="1E293B"/>
                <w:sz w:val="18"/>
              </w:rPr>
              <w:t>Critical collection escalation. Service suspension and direct management outreach.</w:t>
            </w:r>
          </w:p>
        </w:tc>
      </w:tr>
      <w:tr>
        <w:tc>
          <w:tcPr>
            <w:tcW w:type="dxa" w:w="2592"/>
            <w:shd w:fill="ffffff"/>
            <w:tcMar>
              <w:top w:w="100" w:type="dxa"/>
              <w:bottom w:w="100" w:type="dxa"/>
              <w:left w:w="140" w:type="dxa"/>
              <w:right w:w="140" w:type="dxa"/>
            </w:tcMar>
          </w:tcPr>
          <w:p>
            <w:r>
              <w:rPr>
                <w:rFonts w:ascii="Arial" w:hAnsi="Arial"/>
                <w:color w:val="1E293B"/>
                <w:sz w:val="18"/>
              </w:rPr>
              <w:t>90+ Days Overdue</w:t>
            </w:r>
          </w:p>
        </w:tc>
        <w:tc>
          <w:tcPr>
            <w:tcW w:type="dxa" w:w="2160"/>
            <w:shd w:fill="ffffff"/>
            <w:tcMar>
              <w:top w:w="100" w:type="dxa"/>
              <w:bottom w:w="100" w:type="dxa"/>
              <w:left w:w="140" w:type="dxa"/>
              <w:right w:w="140" w:type="dxa"/>
            </w:tcMar>
          </w:tcPr>
          <w:p>
            <w:r>
              <w:rPr>
                <w:rFonts w:ascii="Arial" w:hAnsi="Arial"/>
                <w:color w:val="1E293B"/>
                <w:sz w:val="18"/>
              </w:rPr>
              <w:t>91+ Days</w:t>
            </w:r>
          </w:p>
        </w:tc>
        <w:tc>
          <w:tcPr>
            <w:tcW w:type="dxa" w:w="4608"/>
            <w:shd w:fill="ffffff"/>
            <w:tcMar>
              <w:top w:w="100" w:type="dxa"/>
              <w:bottom w:w="100" w:type="dxa"/>
              <w:left w:w="140" w:type="dxa"/>
              <w:right w:w="140" w:type="dxa"/>
            </w:tcMar>
          </w:tcPr>
          <w:p>
            <w:r>
              <w:rPr>
                <w:rFonts w:ascii="Arial" w:hAnsi="Arial"/>
                <w:color w:val="1E293B"/>
                <w:sz w:val="18"/>
              </w:rPr>
              <w:t>Default risk category. Legal recovery review and bad debt provisioning.</w:t>
            </w:r>
          </w:p>
        </w:tc>
      </w:tr>
    </w:tbl>
    <w:p/>
    <w:p>
      <w:pPr>
        <w:pStyle w:val="Heading2"/>
      </w:pPr>
      <w:r>
        <w:t>8.3 Philippine BIR Tax Compliance &amp; Journals</w:t>
      </w:r>
    </w:p>
    <w:p>
      <w:r>
        <w:t>The accounting engine includes out-of-the-box BIR compliance:</w:t>
      </w:r>
    </w:p>
    <w:p>
      <w:r>
        <w:t>• BIR Form 2307: Automated generation of Certificate of Creditable Tax Withheld at Source for corporate customers and vendor disbursements.</w:t>
      </w:r>
    </w:p>
    <w:p>
      <w:r>
        <w:t>• Statutory Journal Books: Real-time exportable Sales Journal (Sales Book), Purchases Journal (Purchases Book), Cash Receipts Journal (CRJ), Cash Disbursements Journal (CDJ), and General Journal (GJ).</w:t>
      </w:r>
    </w:p>
    <w:p>
      <w:r>
        <w:t>• VAT Return 2550: Automated tracking of Output VAT on sales and Input VAT on purchases with tax relief summaries.</w:t>
      </w:r>
    </w:p>
    <w:p>
      <w:r>
        <w:br w:type="page"/>
      </w:r>
    </w:p>
    <w:p>
      <w:pPr>
        <w:pStyle w:val="Heading1"/>
      </w:pPr>
      <w:r>
        <w:t>9. IMPLEMENTATION METHODOLOGY, TIMELINE &amp; CHANGE MANAGEMENT</w:t>
      </w:r>
    </w:p>
    <w:p>
      <w:pPr>
        <w:pStyle w:val="Heading2"/>
      </w:pPr>
      <w:r>
        <w:t>9.1 45-Day Implementation + 10-Day Change Request Schedule</w:t>
      </w:r>
    </w:p>
    <w:p>
      <w:r>
        <w:t>The project is executed across five structured phases totaling 45 standard implementation days plus a 10-day dedicated Change Request buffer (55 Days Total):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40" w:type="dxa"/>
              <w:bottom w:w="140" w:type="dxa"/>
              <w:left w:w="160" w:type="dxa"/>
              <w:right w:w="160" w:type="dxa"/>
            </w:tcMar>
          </w:tcPr>
          <w:p>
            <w:pPr>
              <w:jc w:val="left"/>
            </w:pPr>
            <w:r>
              <w:rPr>
                <w:rFonts w:ascii="Arial" w:hAnsi="Arial"/>
                <w:b/>
                <w:color w:val="FFFFFF"/>
                <w:sz w:val="19"/>
              </w:rPr>
              <w:t>Phase</w:t>
            </w:r>
          </w:p>
        </w:tc>
        <w:tc>
          <w:tcPr>
            <w:tcW w:type="dxa" w:w="1872"/>
            <w:shd w:fill="0f172a"/>
            <w:tcMar>
              <w:top w:w="140" w:type="dxa"/>
              <w:bottom w:w="140" w:type="dxa"/>
              <w:left w:w="160" w:type="dxa"/>
              <w:right w:w="160" w:type="dxa"/>
            </w:tcMar>
          </w:tcPr>
          <w:p>
            <w:pPr>
              <w:jc w:val="left"/>
            </w:pPr>
            <w:r>
              <w:rPr>
                <w:rFonts w:ascii="Arial" w:hAnsi="Arial"/>
                <w:b/>
                <w:color w:val="FFFFFF"/>
                <w:sz w:val="19"/>
              </w:rPr>
              <w:t>Timeline</w:t>
            </w:r>
          </w:p>
        </w:tc>
        <w:tc>
          <w:tcPr>
            <w:tcW w:type="dxa" w:w="3456"/>
            <w:shd w:fill="0f172a"/>
            <w:tcMar>
              <w:top w:w="140" w:type="dxa"/>
              <w:bottom w:w="140" w:type="dxa"/>
              <w:left w:w="160" w:type="dxa"/>
              <w:right w:w="160" w:type="dxa"/>
            </w:tcMar>
          </w:tcPr>
          <w:p>
            <w:pPr>
              <w:jc w:val="left"/>
            </w:pPr>
            <w:r>
              <w:rPr>
                <w:rFonts w:ascii="Arial" w:hAnsi="Arial"/>
                <w:b/>
                <w:color w:val="FFFFFF"/>
                <w:sz w:val="19"/>
              </w:rPr>
              <w:t>Key Deliverables &amp; Milestones</w:t>
            </w:r>
          </w:p>
        </w:tc>
        <w:tc>
          <w:tcPr>
            <w:tcW w:type="dxa" w:w="1440"/>
            <w:shd w:fill="0f172a"/>
            <w:tcMar>
              <w:top w:w="140" w:type="dxa"/>
              <w:bottom w:w="140" w:type="dxa"/>
              <w:left w:w="160" w:type="dxa"/>
              <w:right w:w="160" w:type="dxa"/>
            </w:tcMar>
          </w:tcPr>
          <w:p>
            <w:pPr>
              <w:jc w:val="left"/>
            </w:pPr>
            <w:r>
              <w:rPr>
                <w:rFonts w:ascii="Arial" w:hAnsi="Arial"/>
                <w:b/>
                <w:color w:val="FFFFFF"/>
                <w:sz w:val="19"/>
              </w:rPr>
              <w:t>Responsible Lead</w:t>
            </w:r>
          </w:p>
        </w:tc>
      </w:tr>
      <w:tr>
        <w:tc>
          <w:tcPr>
            <w:tcW w:type="dxa" w:w="2592"/>
            <w:shd w:fill="ffffff"/>
            <w:tcMar>
              <w:top w:w="100" w:type="dxa"/>
              <w:bottom w:w="100" w:type="dxa"/>
              <w:left w:w="140" w:type="dxa"/>
              <w:right w:w="140" w:type="dxa"/>
            </w:tcMar>
          </w:tcPr>
          <w:p>
            <w:r>
              <w:rPr>
                <w:rFonts w:ascii="Arial" w:hAnsi="Arial"/>
                <w:color w:val="1E293B"/>
                <w:sz w:val="18"/>
              </w:rPr>
              <w:t>Phase 1: Discovery &amp; Architecture</w:t>
            </w:r>
          </w:p>
        </w:tc>
        <w:tc>
          <w:tcPr>
            <w:tcW w:type="dxa" w:w="1872"/>
            <w:shd w:fill="ffffff"/>
            <w:tcMar>
              <w:top w:w="100" w:type="dxa"/>
              <w:bottom w:w="100" w:type="dxa"/>
              <w:left w:w="140" w:type="dxa"/>
              <w:right w:w="140" w:type="dxa"/>
            </w:tcMar>
          </w:tcPr>
          <w:p>
            <w:r>
              <w:rPr>
                <w:rFonts w:ascii="Arial" w:hAnsi="Arial"/>
                <w:color w:val="1E293B"/>
                <w:sz w:val="18"/>
              </w:rPr>
              <w:t>Day 1 – Day 7 (7 Days)</w:t>
            </w:r>
          </w:p>
        </w:tc>
        <w:tc>
          <w:tcPr>
            <w:tcW w:type="dxa" w:w="3456"/>
            <w:shd w:fill="ffffff"/>
            <w:tcMar>
              <w:top w:w="100" w:type="dxa"/>
              <w:bottom w:w="100" w:type="dxa"/>
              <w:left w:w="140" w:type="dxa"/>
              <w:right w:w="140" w:type="dxa"/>
            </w:tcMar>
          </w:tcPr>
          <w:p>
            <w:r>
              <w:rPr>
                <w:rFonts w:ascii="Arial" w:hAnsi="Arial"/>
                <w:color w:val="1E293B"/>
                <w:sz w:val="18"/>
              </w:rPr>
              <w:t>Business blueprint sign-off, Chart of Accounts mapping, multi-company hierarchy definition.</w:t>
            </w:r>
          </w:p>
        </w:tc>
        <w:tc>
          <w:tcPr>
            <w:tcW w:type="dxa" w:w="1440"/>
            <w:shd w:fill="ffffff"/>
            <w:tcMar>
              <w:top w:w="100" w:type="dxa"/>
              <w:bottom w:w="100" w:type="dxa"/>
              <w:left w:w="140" w:type="dxa"/>
              <w:right w:w="140" w:type="dxa"/>
            </w:tcMar>
          </w:tcPr>
          <w:p>
            <w:r>
              <w:rPr>
                <w:rFonts w:ascii="Arial" w:hAnsi="Arial"/>
                <w:color w:val="1E293B"/>
                <w:sz w:val="18"/>
              </w:rPr>
              <w:t>Jose Mangiliman Jr.</w:t>
            </w:r>
          </w:p>
        </w:tc>
      </w:tr>
      <w:tr>
        <w:tc>
          <w:tcPr>
            <w:tcW w:type="dxa" w:w="2592"/>
            <w:shd w:fill="f8fafc"/>
            <w:tcMar>
              <w:top w:w="100" w:type="dxa"/>
              <w:bottom w:w="100" w:type="dxa"/>
              <w:left w:w="140" w:type="dxa"/>
              <w:right w:w="140" w:type="dxa"/>
            </w:tcMar>
          </w:tcPr>
          <w:p>
            <w:r>
              <w:rPr>
                <w:rFonts w:ascii="Arial" w:hAnsi="Arial"/>
                <w:color w:val="1E293B"/>
                <w:sz w:val="18"/>
              </w:rPr>
              <w:t>Phase 2: Core Build &amp; VMS Customization</w:t>
            </w:r>
          </w:p>
        </w:tc>
        <w:tc>
          <w:tcPr>
            <w:tcW w:type="dxa" w:w="1872"/>
            <w:shd w:fill="f8fafc"/>
            <w:tcMar>
              <w:top w:w="100" w:type="dxa"/>
              <w:bottom w:w="100" w:type="dxa"/>
              <w:left w:w="140" w:type="dxa"/>
              <w:right w:w="140" w:type="dxa"/>
            </w:tcMar>
          </w:tcPr>
          <w:p>
            <w:r>
              <w:rPr>
                <w:rFonts w:ascii="Arial" w:hAnsi="Arial"/>
                <w:color w:val="1E293B"/>
                <w:sz w:val="18"/>
              </w:rPr>
              <w:t>Day 8 – Day 22 (15 Days)</w:t>
            </w:r>
          </w:p>
        </w:tc>
        <w:tc>
          <w:tcPr>
            <w:tcW w:type="dxa" w:w="3456"/>
            <w:shd w:fill="f8fafc"/>
            <w:tcMar>
              <w:top w:w="100" w:type="dxa"/>
              <w:bottom w:w="100" w:type="dxa"/>
              <w:left w:w="140" w:type="dxa"/>
              <w:right w:w="140" w:type="dxa"/>
            </w:tcMar>
          </w:tcPr>
          <w:p>
            <w:r>
              <w:rPr>
                <w:rFonts w:ascii="Arial" w:hAnsi="Arial"/>
                <w:color w:val="1E293B"/>
                <w:sz w:val="18"/>
              </w:rPr>
              <w:t>DocType creation, VJO/POS workflows, Server Scripts, Client Scripts, Receipt print formats.</w:t>
            </w:r>
          </w:p>
        </w:tc>
        <w:tc>
          <w:tcPr>
            <w:tcW w:type="dxa" w:w="1440"/>
            <w:shd w:fill="f8fafc"/>
            <w:tcMar>
              <w:top w:w="100" w:type="dxa"/>
              <w:bottom w:w="100" w:type="dxa"/>
              <w:left w:w="140" w:type="dxa"/>
              <w:right w:w="140" w:type="dxa"/>
            </w:tcMar>
          </w:tcPr>
          <w:p>
            <w:r>
              <w:rPr>
                <w:rFonts w:ascii="Arial" w:hAnsi="Arial"/>
                <w:color w:val="1E293B"/>
                <w:sz w:val="18"/>
              </w:rPr>
              <w:t>Jose Mangiliman Jr.</w:t>
            </w:r>
          </w:p>
        </w:tc>
      </w:tr>
      <w:tr>
        <w:tc>
          <w:tcPr>
            <w:tcW w:type="dxa" w:w="2592"/>
            <w:shd w:fill="ffffff"/>
            <w:tcMar>
              <w:top w:w="100" w:type="dxa"/>
              <w:bottom w:w="100" w:type="dxa"/>
              <w:left w:w="140" w:type="dxa"/>
              <w:right w:w="140" w:type="dxa"/>
            </w:tcMar>
          </w:tcPr>
          <w:p>
            <w:r>
              <w:rPr>
                <w:rFonts w:ascii="Arial" w:hAnsi="Arial"/>
                <w:color w:val="1E293B"/>
                <w:sz w:val="18"/>
              </w:rPr>
              <w:t>Phase 3: Financials &amp; Reports Build</w:t>
            </w:r>
          </w:p>
        </w:tc>
        <w:tc>
          <w:tcPr>
            <w:tcW w:type="dxa" w:w="1872"/>
            <w:shd w:fill="ffffff"/>
            <w:tcMar>
              <w:top w:w="100" w:type="dxa"/>
              <w:bottom w:w="100" w:type="dxa"/>
              <w:left w:w="140" w:type="dxa"/>
              <w:right w:w="140" w:type="dxa"/>
            </w:tcMar>
          </w:tcPr>
          <w:p>
            <w:r>
              <w:rPr>
                <w:rFonts w:ascii="Arial" w:hAnsi="Arial"/>
                <w:color w:val="1E293B"/>
                <w:sz w:val="18"/>
              </w:rPr>
              <w:t>Day 23 – Day 32 (10 Days)</w:t>
            </w:r>
          </w:p>
        </w:tc>
        <w:tc>
          <w:tcPr>
            <w:tcW w:type="dxa" w:w="3456"/>
            <w:shd w:fill="ffffff"/>
            <w:tcMar>
              <w:top w:w="100" w:type="dxa"/>
              <w:bottom w:w="100" w:type="dxa"/>
              <w:left w:w="140" w:type="dxa"/>
              <w:right w:w="140" w:type="dxa"/>
            </w:tcMar>
          </w:tcPr>
          <w:p>
            <w:r>
              <w:rPr>
                <w:rFonts w:ascii="Arial" w:hAnsi="Arial"/>
                <w:color w:val="1E293B"/>
                <w:sz w:val="18"/>
              </w:rPr>
              <w:t>Exploded Cash Flow engine, AR/AP Aging, BIR tax journals, Consolidated P&amp;L / Balance Sheet.</w:t>
            </w:r>
          </w:p>
        </w:tc>
        <w:tc>
          <w:tcPr>
            <w:tcW w:type="dxa" w:w="1440"/>
            <w:shd w:fill="ffffff"/>
            <w:tcMar>
              <w:top w:w="100" w:type="dxa"/>
              <w:bottom w:w="100" w:type="dxa"/>
              <w:left w:w="140" w:type="dxa"/>
              <w:right w:w="140" w:type="dxa"/>
            </w:tcMar>
          </w:tcPr>
          <w:p>
            <w:r>
              <w:rPr>
                <w:rFonts w:ascii="Arial" w:hAnsi="Arial"/>
                <w:color w:val="1E293B"/>
                <w:sz w:val="18"/>
              </w:rPr>
              <w:t>Jose Mangiliman Jr.</w:t>
            </w:r>
          </w:p>
        </w:tc>
      </w:tr>
      <w:tr>
        <w:tc>
          <w:tcPr>
            <w:tcW w:type="dxa" w:w="2592"/>
            <w:shd w:fill="f8fafc"/>
            <w:tcMar>
              <w:top w:w="100" w:type="dxa"/>
              <w:bottom w:w="100" w:type="dxa"/>
              <w:left w:w="140" w:type="dxa"/>
              <w:right w:w="140" w:type="dxa"/>
            </w:tcMar>
          </w:tcPr>
          <w:p>
            <w:r>
              <w:rPr>
                <w:rFonts w:ascii="Arial" w:hAnsi="Arial"/>
                <w:color w:val="1E293B"/>
                <w:sz w:val="18"/>
              </w:rPr>
              <w:t>Phase 4: Data Migration &amp; UAT</w:t>
            </w:r>
          </w:p>
        </w:tc>
        <w:tc>
          <w:tcPr>
            <w:tcW w:type="dxa" w:w="1872"/>
            <w:shd w:fill="f8fafc"/>
            <w:tcMar>
              <w:top w:w="100" w:type="dxa"/>
              <w:bottom w:w="100" w:type="dxa"/>
              <w:left w:w="140" w:type="dxa"/>
              <w:right w:w="140" w:type="dxa"/>
            </w:tcMar>
          </w:tcPr>
          <w:p>
            <w:r>
              <w:rPr>
                <w:rFonts w:ascii="Arial" w:hAnsi="Arial"/>
                <w:color w:val="1E293B"/>
                <w:sz w:val="18"/>
              </w:rPr>
              <w:t>Day 33 – Day 40 (8 Days)</w:t>
            </w:r>
          </w:p>
        </w:tc>
        <w:tc>
          <w:tcPr>
            <w:tcW w:type="dxa" w:w="3456"/>
            <w:shd w:fill="f8fafc"/>
            <w:tcMar>
              <w:top w:w="100" w:type="dxa"/>
              <w:bottom w:w="100" w:type="dxa"/>
              <w:left w:w="140" w:type="dxa"/>
              <w:right w:w="140" w:type="dxa"/>
            </w:tcMar>
          </w:tcPr>
          <w:p>
            <w:r>
              <w:rPr>
                <w:rFonts w:ascii="Arial" w:hAnsi="Arial"/>
                <w:color w:val="1E293B"/>
                <w:sz w:val="18"/>
              </w:rPr>
              <w:t>Master data upload (Items, Vehicles, Customers, Opening GL balances), user acceptance testing.</w:t>
            </w:r>
          </w:p>
        </w:tc>
        <w:tc>
          <w:tcPr>
            <w:tcW w:type="dxa" w:w="1440"/>
            <w:shd w:fill="f8fafc"/>
            <w:tcMar>
              <w:top w:w="100" w:type="dxa"/>
              <w:bottom w:w="100" w:type="dxa"/>
              <w:left w:w="140" w:type="dxa"/>
              <w:right w:w="140" w:type="dxa"/>
            </w:tcMar>
          </w:tcPr>
          <w:p>
            <w:r>
              <w:rPr>
                <w:rFonts w:ascii="Arial" w:hAnsi="Arial"/>
                <w:color w:val="1E293B"/>
                <w:sz w:val="18"/>
              </w:rPr>
              <w:t>Jose Mangiliman Jr. &amp; Client</w:t>
            </w:r>
          </w:p>
        </w:tc>
      </w:tr>
      <w:tr>
        <w:tc>
          <w:tcPr>
            <w:tcW w:type="dxa" w:w="2592"/>
            <w:shd w:fill="ffffff"/>
            <w:tcMar>
              <w:top w:w="100" w:type="dxa"/>
              <w:bottom w:w="100" w:type="dxa"/>
              <w:left w:w="140" w:type="dxa"/>
              <w:right w:w="140" w:type="dxa"/>
            </w:tcMar>
          </w:tcPr>
          <w:p>
            <w:r>
              <w:rPr>
                <w:rFonts w:ascii="Arial" w:hAnsi="Arial"/>
                <w:color w:val="1E293B"/>
                <w:sz w:val="18"/>
              </w:rPr>
              <w:t>Phase 5: Training, Cutover &amp; Go-Live</w:t>
            </w:r>
          </w:p>
        </w:tc>
        <w:tc>
          <w:tcPr>
            <w:tcW w:type="dxa" w:w="1872"/>
            <w:shd w:fill="ffffff"/>
            <w:tcMar>
              <w:top w:w="100" w:type="dxa"/>
              <w:bottom w:w="100" w:type="dxa"/>
              <w:left w:w="140" w:type="dxa"/>
              <w:right w:w="140" w:type="dxa"/>
            </w:tcMar>
          </w:tcPr>
          <w:p>
            <w:r>
              <w:rPr>
                <w:rFonts w:ascii="Arial" w:hAnsi="Arial"/>
                <w:color w:val="1E293B"/>
                <w:sz w:val="18"/>
              </w:rPr>
              <w:t>Day 41 – Day 45 (5 Days)</w:t>
            </w:r>
          </w:p>
        </w:tc>
        <w:tc>
          <w:tcPr>
            <w:tcW w:type="dxa" w:w="3456"/>
            <w:shd w:fill="ffffff"/>
            <w:tcMar>
              <w:top w:w="100" w:type="dxa"/>
              <w:bottom w:w="100" w:type="dxa"/>
              <w:left w:w="140" w:type="dxa"/>
              <w:right w:w="140" w:type="dxa"/>
            </w:tcMar>
          </w:tcPr>
          <w:p>
            <w:r>
              <w:rPr>
                <w:rFonts w:ascii="Arial" w:hAnsi="Arial"/>
                <w:color w:val="1E293B"/>
                <w:sz w:val="18"/>
              </w:rPr>
              <w:t>End-user workshop training, shift cashier dry runs, production cutover, live deployment.</w:t>
            </w:r>
          </w:p>
        </w:tc>
        <w:tc>
          <w:tcPr>
            <w:tcW w:type="dxa" w:w="1440"/>
            <w:shd w:fill="ffffff"/>
            <w:tcMar>
              <w:top w:w="100" w:type="dxa"/>
              <w:bottom w:w="100" w:type="dxa"/>
              <w:left w:w="140" w:type="dxa"/>
              <w:right w:w="140" w:type="dxa"/>
            </w:tcMar>
          </w:tcPr>
          <w:p>
            <w:r>
              <w:rPr>
                <w:rFonts w:ascii="Arial" w:hAnsi="Arial"/>
                <w:color w:val="1E293B"/>
                <w:sz w:val="18"/>
              </w:rPr>
              <w:t>Jose Mangiliman Jr.</w:t>
            </w:r>
          </w:p>
        </w:tc>
      </w:tr>
      <w:tr>
        <w:tc>
          <w:tcPr>
            <w:tcW w:type="dxa" w:w="2592"/>
            <w:shd w:fill="f8fafc"/>
            <w:tcMar>
              <w:top w:w="100" w:type="dxa"/>
              <w:bottom w:w="100" w:type="dxa"/>
              <w:left w:w="140" w:type="dxa"/>
              <w:right w:w="140" w:type="dxa"/>
            </w:tcMar>
          </w:tcPr>
          <w:p>
            <w:r>
              <w:rPr>
                <w:rFonts w:ascii="Arial" w:hAnsi="Arial"/>
                <w:color w:val="1E293B"/>
                <w:sz w:val="18"/>
              </w:rPr>
              <w:t>Phase 6: Change Request (CR) Window</w:t>
            </w:r>
          </w:p>
        </w:tc>
        <w:tc>
          <w:tcPr>
            <w:tcW w:type="dxa" w:w="1872"/>
            <w:shd w:fill="f8fafc"/>
            <w:tcMar>
              <w:top w:w="100" w:type="dxa"/>
              <w:bottom w:w="100" w:type="dxa"/>
              <w:left w:w="140" w:type="dxa"/>
              <w:right w:w="140" w:type="dxa"/>
            </w:tcMar>
          </w:tcPr>
          <w:p>
            <w:r>
              <w:rPr>
                <w:rFonts w:ascii="Arial" w:hAnsi="Arial"/>
                <w:color w:val="1E293B"/>
                <w:sz w:val="18"/>
              </w:rPr>
              <w:t>Day 46 – Day 55 (10 Days)</w:t>
            </w:r>
          </w:p>
        </w:tc>
        <w:tc>
          <w:tcPr>
            <w:tcW w:type="dxa" w:w="3456"/>
            <w:shd w:fill="f8fafc"/>
            <w:tcMar>
              <w:top w:w="100" w:type="dxa"/>
              <w:bottom w:w="100" w:type="dxa"/>
              <w:left w:w="140" w:type="dxa"/>
              <w:right w:w="140" w:type="dxa"/>
            </w:tcMar>
          </w:tcPr>
          <w:p>
            <w:r>
              <w:rPr>
                <w:rFonts w:ascii="Arial" w:hAnsi="Arial"/>
                <w:color w:val="1E293B"/>
                <w:sz w:val="18"/>
              </w:rPr>
              <w:t>Dedicated scope enhancement window for client change requests, fine-tuning, and post-go-live stabilization.</w:t>
            </w:r>
          </w:p>
        </w:tc>
        <w:tc>
          <w:tcPr>
            <w:tcW w:type="dxa" w:w="1440"/>
            <w:shd w:fill="f8fafc"/>
            <w:tcMar>
              <w:top w:w="100" w:type="dxa"/>
              <w:bottom w:w="100" w:type="dxa"/>
              <w:left w:w="140" w:type="dxa"/>
              <w:right w:w="140" w:type="dxa"/>
            </w:tcMar>
          </w:tcPr>
          <w:p>
            <w:r>
              <w:rPr>
                <w:rFonts w:ascii="Arial" w:hAnsi="Arial"/>
                <w:color w:val="1E293B"/>
                <w:sz w:val="18"/>
              </w:rPr>
              <w:t>Jose Mangiliman Jr.</w:t>
            </w:r>
          </w:p>
        </w:tc>
      </w:tr>
    </w:tbl>
    <w:p/>
    <w:p>
      <w:pPr>
        <w:pStyle w:val="Heading2"/>
      </w:pPr>
      <w:r>
        <w:t>9.2 Technology Stack &amp; Hosting Infrastructure</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0f172a"/>
            <w:tcMar>
              <w:top w:w="140" w:type="dxa"/>
              <w:bottom w:w="140" w:type="dxa"/>
              <w:left w:w="160" w:type="dxa"/>
              <w:right w:w="160" w:type="dxa"/>
            </w:tcMar>
          </w:tcPr>
          <w:p>
            <w:pPr>
              <w:jc w:val="left"/>
            </w:pPr>
            <w:r>
              <w:rPr>
                <w:rFonts w:ascii="Arial" w:hAnsi="Arial"/>
                <w:b/>
                <w:color w:val="FFFFFF"/>
                <w:sz w:val="19"/>
              </w:rPr>
              <w:t>Architecture Layer</w:t>
            </w:r>
          </w:p>
        </w:tc>
        <w:tc>
          <w:tcPr>
            <w:tcW w:type="dxa" w:w="3168"/>
            <w:shd w:fill="0f172a"/>
            <w:tcMar>
              <w:top w:w="140" w:type="dxa"/>
              <w:bottom w:w="140" w:type="dxa"/>
              <w:left w:w="160" w:type="dxa"/>
              <w:right w:w="160" w:type="dxa"/>
            </w:tcMar>
          </w:tcPr>
          <w:p>
            <w:pPr>
              <w:jc w:val="left"/>
            </w:pPr>
            <w:r>
              <w:rPr>
                <w:rFonts w:ascii="Arial" w:hAnsi="Arial"/>
                <w:b/>
                <w:color w:val="FFFFFF"/>
                <w:sz w:val="19"/>
              </w:rPr>
              <w:t>Technology Component</w:t>
            </w:r>
          </w:p>
        </w:tc>
        <w:tc>
          <w:tcPr>
            <w:tcW w:type="dxa" w:w="3888"/>
            <w:shd w:fill="0f172a"/>
            <w:tcMar>
              <w:top w:w="140" w:type="dxa"/>
              <w:bottom w:w="140" w:type="dxa"/>
              <w:left w:w="160" w:type="dxa"/>
              <w:right w:w="160" w:type="dxa"/>
            </w:tcMar>
          </w:tcPr>
          <w:p>
            <w:pPr>
              <w:jc w:val="left"/>
            </w:pPr>
            <w:r>
              <w:rPr>
                <w:rFonts w:ascii="Arial" w:hAnsi="Arial"/>
                <w:b/>
                <w:color w:val="FFFFFF"/>
                <w:sz w:val="19"/>
              </w:rPr>
              <w:t>Specification &amp; Deployment Detail</w:t>
            </w:r>
          </w:p>
        </w:tc>
      </w:tr>
      <w:tr>
        <w:tc>
          <w:tcPr>
            <w:tcW w:type="dxa" w:w="2304"/>
            <w:shd w:fill="ffffff"/>
            <w:tcMar>
              <w:top w:w="100" w:type="dxa"/>
              <w:bottom w:w="100" w:type="dxa"/>
              <w:left w:w="140" w:type="dxa"/>
              <w:right w:w="140" w:type="dxa"/>
            </w:tcMar>
          </w:tcPr>
          <w:p>
            <w:r>
              <w:rPr>
                <w:rFonts w:ascii="Arial" w:hAnsi="Arial"/>
                <w:color w:val="1E293B"/>
                <w:sz w:val="18"/>
              </w:rPr>
              <w:t>Enterprise Core</w:t>
            </w:r>
          </w:p>
        </w:tc>
        <w:tc>
          <w:tcPr>
            <w:tcW w:type="dxa" w:w="3168"/>
            <w:shd w:fill="ffffff"/>
            <w:tcMar>
              <w:top w:w="100" w:type="dxa"/>
              <w:bottom w:w="100" w:type="dxa"/>
              <w:left w:w="140" w:type="dxa"/>
              <w:right w:w="140" w:type="dxa"/>
            </w:tcMar>
          </w:tcPr>
          <w:p>
            <w:r>
              <w:rPr>
                <w:rFonts w:ascii="Arial" w:hAnsi="Arial"/>
                <w:color w:val="1E293B"/>
                <w:sz w:val="18"/>
              </w:rPr>
              <w:t>ERPNext v16 (Frappe Framework)</w:t>
            </w:r>
          </w:p>
        </w:tc>
        <w:tc>
          <w:tcPr>
            <w:tcW w:type="dxa" w:w="3888"/>
            <w:shd w:fill="ffffff"/>
            <w:tcMar>
              <w:top w:w="100" w:type="dxa"/>
              <w:bottom w:w="100" w:type="dxa"/>
              <w:left w:w="140" w:type="dxa"/>
              <w:right w:w="140" w:type="dxa"/>
            </w:tcMar>
          </w:tcPr>
          <w:p>
            <w:r>
              <w:rPr>
                <w:rFonts w:ascii="Arial" w:hAnsi="Arial"/>
                <w:color w:val="1E293B"/>
                <w:sz w:val="18"/>
              </w:rPr>
              <w:t>Python 3.11+, MariaDB / PostgreSQL database backend, Redis cache.</w:t>
            </w:r>
          </w:p>
        </w:tc>
      </w:tr>
      <w:tr>
        <w:tc>
          <w:tcPr>
            <w:tcW w:type="dxa" w:w="2304"/>
            <w:shd w:fill="f8fafc"/>
            <w:tcMar>
              <w:top w:w="100" w:type="dxa"/>
              <w:bottom w:w="100" w:type="dxa"/>
              <w:left w:w="140" w:type="dxa"/>
              <w:right w:w="140" w:type="dxa"/>
            </w:tcMar>
          </w:tcPr>
          <w:p>
            <w:r>
              <w:rPr>
                <w:rFonts w:ascii="Arial" w:hAnsi="Arial"/>
                <w:color w:val="1E293B"/>
                <w:sz w:val="18"/>
              </w:rPr>
              <w:t>Custom App Layer</w:t>
            </w:r>
          </w:p>
        </w:tc>
        <w:tc>
          <w:tcPr>
            <w:tcW w:type="dxa" w:w="3168"/>
            <w:shd w:fill="f8fafc"/>
            <w:tcMar>
              <w:top w:w="100" w:type="dxa"/>
              <w:bottom w:w="100" w:type="dxa"/>
              <w:left w:w="140" w:type="dxa"/>
              <w:right w:w="140" w:type="dxa"/>
            </w:tcMar>
          </w:tcPr>
          <w:p>
            <w:r>
              <w:rPr>
                <w:rFonts w:ascii="Arial" w:hAnsi="Arial"/>
                <w:color w:val="1E293B"/>
                <w:sz w:val="18"/>
              </w:rPr>
              <w:t>Vehicle Management System (VMS)</w:t>
            </w:r>
          </w:p>
        </w:tc>
        <w:tc>
          <w:tcPr>
            <w:tcW w:type="dxa" w:w="3888"/>
            <w:shd w:fill="f8fafc"/>
            <w:tcMar>
              <w:top w:w="100" w:type="dxa"/>
              <w:bottom w:w="100" w:type="dxa"/>
              <w:left w:w="140" w:type="dxa"/>
              <w:right w:w="140" w:type="dxa"/>
            </w:tcMar>
          </w:tcPr>
          <w:p>
            <w:r>
              <w:rPr>
                <w:rFonts w:ascii="Arial" w:hAnsi="Arial"/>
                <w:color w:val="1E293B"/>
                <w:sz w:val="18"/>
              </w:rPr>
              <w:t>Integrated Frappe app with custom DocTypes, Server Scripts, and Client Scripts.</w:t>
            </w:r>
          </w:p>
        </w:tc>
      </w:tr>
      <w:tr>
        <w:tc>
          <w:tcPr>
            <w:tcW w:type="dxa" w:w="2304"/>
            <w:shd w:fill="ffffff"/>
            <w:tcMar>
              <w:top w:w="100" w:type="dxa"/>
              <w:bottom w:w="100" w:type="dxa"/>
              <w:left w:w="140" w:type="dxa"/>
              <w:right w:w="140" w:type="dxa"/>
            </w:tcMar>
          </w:tcPr>
          <w:p>
            <w:r>
              <w:rPr>
                <w:rFonts w:ascii="Arial" w:hAnsi="Arial"/>
                <w:color w:val="1E293B"/>
                <w:sz w:val="18"/>
              </w:rPr>
              <w:t>Frontend UI</w:t>
            </w:r>
          </w:p>
        </w:tc>
        <w:tc>
          <w:tcPr>
            <w:tcW w:type="dxa" w:w="3168"/>
            <w:shd w:fill="ffffff"/>
            <w:tcMar>
              <w:top w:w="100" w:type="dxa"/>
              <w:bottom w:w="100" w:type="dxa"/>
              <w:left w:w="140" w:type="dxa"/>
              <w:right w:w="140" w:type="dxa"/>
            </w:tcMar>
          </w:tcPr>
          <w:p>
            <w:r>
              <w:rPr>
                <w:rFonts w:ascii="Arial" w:hAnsi="Arial"/>
                <w:color w:val="1E293B"/>
                <w:sz w:val="18"/>
              </w:rPr>
              <w:t>HTML5 / Vanilla CSS / SheetJS</w:t>
            </w:r>
          </w:p>
        </w:tc>
        <w:tc>
          <w:tcPr>
            <w:tcW w:type="dxa" w:w="3888"/>
            <w:shd w:fill="ffffff"/>
            <w:tcMar>
              <w:top w:w="100" w:type="dxa"/>
              <w:bottom w:w="100" w:type="dxa"/>
              <w:left w:w="140" w:type="dxa"/>
              <w:right w:w="140" w:type="dxa"/>
            </w:tcMar>
          </w:tcPr>
          <w:p>
            <w:r>
              <w:rPr>
                <w:rFonts w:ascii="Arial" w:hAnsi="Arial"/>
                <w:color w:val="1E293B"/>
                <w:sz w:val="18"/>
              </w:rPr>
              <w:t>Ultra-fast, zero-dependency responsive interface with dark/light themes and Excel export.</w:t>
            </w:r>
          </w:p>
        </w:tc>
      </w:tr>
      <w:tr>
        <w:tc>
          <w:tcPr>
            <w:tcW w:type="dxa" w:w="2304"/>
            <w:shd w:fill="f8fafc"/>
            <w:tcMar>
              <w:top w:w="100" w:type="dxa"/>
              <w:bottom w:w="100" w:type="dxa"/>
              <w:left w:w="140" w:type="dxa"/>
              <w:right w:w="140" w:type="dxa"/>
            </w:tcMar>
          </w:tcPr>
          <w:p>
            <w:r>
              <w:rPr>
                <w:rFonts w:ascii="Arial" w:hAnsi="Arial"/>
                <w:color w:val="1E293B"/>
                <w:sz w:val="18"/>
              </w:rPr>
              <w:t>Server Infrastructure</w:t>
            </w:r>
          </w:p>
        </w:tc>
        <w:tc>
          <w:tcPr>
            <w:tcW w:type="dxa" w:w="3168"/>
            <w:shd w:fill="f8fafc"/>
            <w:tcMar>
              <w:top w:w="100" w:type="dxa"/>
              <w:bottom w:w="100" w:type="dxa"/>
              <w:left w:w="140" w:type="dxa"/>
              <w:right w:w="140" w:type="dxa"/>
            </w:tcMar>
          </w:tcPr>
          <w:p>
            <w:r>
              <w:rPr>
                <w:rFonts w:ascii="Arial" w:hAnsi="Arial"/>
                <w:color w:val="1E293B"/>
                <w:sz w:val="18"/>
              </w:rPr>
              <w:t>Cloud VPS (Linux Ubuntu)</w:t>
            </w:r>
          </w:p>
        </w:tc>
        <w:tc>
          <w:tcPr>
            <w:tcW w:type="dxa" w:w="3888"/>
            <w:shd w:fill="f8fafc"/>
            <w:tcMar>
              <w:top w:w="100" w:type="dxa"/>
              <w:bottom w:w="100" w:type="dxa"/>
              <w:left w:w="140" w:type="dxa"/>
              <w:right w:w="140" w:type="dxa"/>
            </w:tcMar>
          </w:tcPr>
          <w:p>
            <w:r>
              <w:rPr>
                <w:rFonts w:ascii="Arial" w:hAnsi="Arial"/>
                <w:color w:val="1E293B"/>
                <w:sz w:val="18"/>
              </w:rPr>
              <w:t>38.247.138.224:10017 with Caddy SSL Reverse Proxy and automated containerized backups.</w:t>
            </w:r>
          </w:p>
        </w:tc>
      </w:tr>
      <w:tr>
        <w:tc>
          <w:tcPr>
            <w:tcW w:type="dxa" w:w="2304"/>
            <w:shd w:fill="ffffff"/>
            <w:tcMar>
              <w:top w:w="100" w:type="dxa"/>
              <w:bottom w:w="100" w:type="dxa"/>
              <w:left w:w="140" w:type="dxa"/>
              <w:right w:w="140" w:type="dxa"/>
            </w:tcMar>
          </w:tcPr>
          <w:p>
            <w:r>
              <w:rPr>
                <w:rFonts w:ascii="Arial" w:hAnsi="Arial"/>
                <w:color w:val="1E293B"/>
                <w:sz w:val="18"/>
              </w:rPr>
              <w:t>Security &amp; Audit</w:t>
            </w:r>
          </w:p>
        </w:tc>
        <w:tc>
          <w:tcPr>
            <w:tcW w:type="dxa" w:w="3168"/>
            <w:shd w:fill="ffffff"/>
            <w:tcMar>
              <w:top w:w="100" w:type="dxa"/>
              <w:bottom w:w="100" w:type="dxa"/>
              <w:left w:w="140" w:type="dxa"/>
              <w:right w:w="140" w:type="dxa"/>
            </w:tcMar>
          </w:tcPr>
          <w:p>
            <w:r>
              <w:rPr>
                <w:rFonts w:ascii="Arial" w:hAnsi="Arial"/>
                <w:color w:val="1E293B"/>
                <w:sz w:val="18"/>
              </w:rPr>
              <w:t>Role-Based Access Control (RBAC)</w:t>
            </w:r>
          </w:p>
        </w:tc>
        <w:tc>
          <w:tcPr>
            <w:tcW w:type="dxa" w:w="3888"/>
            <w:shd w:fill="ffffff"/>
            <w:tcMar>
              <w:top w:w="100" w:type="dxa"/>
              <w:bottom w:w="100" w:type="dxa"/>
              <w:left w:w="140" w:type="dxa"/>
              <w:right w:w="140" w:type="dxa"/>
            </w:tcMar>
          </w:tcPr>
          <w:p>
            <w:r>
              <w:rPr>
                <w:rFonts w:ascii="Arial" w:hAnsi="Arial"/>
                <w:color w:val="1E293B"/>
                <w:sz w:val="18"/>
              </w:rPr>
              <w:t>Multi-level permission manager, Super User audit logs, and secure REST APIs.</w:t>
            </w:r>
          </w:p>
        </w:tc>
      </w:tr>
    </w:tbl>
    <w:p/>
    <w:p>
      <w:pPr>
        <w:pStyle w:val="Heading2"/>
      </w:pPr>
      <w:r>
        <w:t>9.3 Formal Change Management Protocol</w:t>
      </w:r>
    </w:p>
    <w:p>
      <w:r>
        <w:t>Any functional alteration or additional workflow requested beyond the signed blueprint is formally processed through a Change Request (CR) document detailing technical impact, effort estimation, and delivery milestone within the 10-day CR buffer.</w:t>
      </w:r>
    </w:p>
    <w:p>
      <w:pPr>
        <w:pStyle w:val="Heading1"/>
      </w:pPr>
      <w:r>
        <w:t>10. BLUEPRINT ACCEPTANCE &amp; AUTHORIZATION</w:t>
      </w:r>
    </w:p>
    <w:p>
      <w:r>
        <w:t>By signing below, the authorized executive stakeholders of ULTRA MRF and Automan Car Care Center approve this Business Blueprint as the definitive baseline for system configuration, deployment, and acceptance testing.</w:t>
      </w:r>
    </w:p>
    <w:p>
      <w:r>
        <w:br/>
      </w:r>
    </w:p>
    <w:tbl>
      <w:tblPr>
        <w:tblW w:type="auto" w:w="0"/>
        <w:jc w:val="center"/>
        <w:tblLook w:firstColumn="1" w:firstRow="1" w:lastColumn="0" w:lastRow="0" w:noHBand="0" w:noVBand="1" w:val="04A0"/>
      </w:tblPr>
      <w:tblGrid>
        <w:gridCol w:w="4968"/>
        <w:gridCol w:w="4968"/>
      </w:tblGrid>
      <w:tr>
        <w:tc>
          <w:tcPr>
            <w:tcW w:type="dxa" w:w="4608"/>
            <w:shd w:fill="f1f5f9"/>
          </w:tcPr>
          <w:p>
            <w:r>
              <w:rPr>
                <w:b/>
              </w:rPr>
              <w:t>FOR THE CONSULTING ARCHITECT:</w:t>
            </w:r>
          </w:p>
        </w:tc>
        <w:tc>
          <w:tcPr>
            <w:tcW w:type="dxa" w:w="4608"/>
            <w:shd w:fill="f1f5f9"/>
          </w:tcPr>
          <w:p>
            <w:r>
              <w:rPr>
                <w:b/>
              </w:rPr>
              <w:t>FOR ULTRA MRF / AUTOMAN:</w:t>
            </w:r>
          </w:p>
        </w:tc>
      </w:tr>
      <w:tr>
        <w:tc>
          <w:tcPr>
            <w:tcW w:type="dxa" w:w="4608"/>
          </w:tcPr>
          <w:p>
            <w:r>
              <w:br/>
              <w:t>_____________________________________</w:t>
              <w:br/>
              <w:t>JOSE MANGILIMAN JR.</w:t>
              <w:br/>
              <w:t>Lead ERP Solutions Architect</w:t>
              <w:br/>
              <w:t>Date: September 11, 2026</w:t>
              <w:br/>
            </w:r>
          </w:p>
        </w:tc>
        <w:tc>
          <w:tcPr>
            <w:tcW w:type="dxa" w:w="4608"/>
          </w:tcPr>
          <w:p>
            <w:r>
              <w:br/>
              <w:t>_____________________________________</w:t>
              <w:br/>
              <w:t>EXECUTIVE AUTHORIZED SIGNATORY</w:t>
              <w:br/>
              <w:t>Managing Director / Chief Operating Officer</w:t>
              <w:br/>
              <w:t>Date: ________________________</w:t>
              <w:br/>
            </w:r>
          </w:p>
        </w:tc>
      </w:tr>
      <w:tr>
        <w:tc>
          <w:tcPr>
            <w:tcW w:type="dxa" w:w="4608"/>
            <w:shd w:fill="f0fdf4"/>
          </w:tcPr>
          <w:p>
            <w:r>
              <w:rPr>
                <w:b/>
              </w:rPr>
              <w:t>Status: APPROVED &amp; SIGNED</w:t>
            </w:r>
          </w:p>
        </w:tc>
        <w:tc>
          <w:tcPr>
            <w:tcW w:type="dxa" w:w="4608"/>
            <w:shd w:fill="fffbeb"/>
          </w:tcPr>
          <w:p>
            <w:r>
              <w:rPr>
                <w:b/>
              </w:rPr>
              <w:t>Status: PENDING CLIENT COUNTERSIGN</w:t>
            </w:r>
          </w:p>
        </w:tc>
      </w:tr>
    </w:tbl>
    <w:p>
      <w:r>
        <w:br/>
        <w:br/>
        <w:t>~ END OF BUSINESS BLUEPRINT DOCUMENT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