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ArkHimar PM Project Manager Handbook</w:t>
      </w:r>
    </w:p>
    <w:p>
      <w:pPr>
        <w:pStyle w:val="Subtitle"/>
      </w:pPr>
      <w:r>
        <w:t>A practical guide to managing projects and operating the platform</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8208"/>
      </w:tblGrid>
      <w:tr>
        <w:tc>
          <w:tcPr>
            <w:tcW w:type="dxa" w:w="4939"/>
            <w:shd w:fill="EDF3F7"/>
            <w:vAlign w:val="center"/>
            <w:tcMar>
              <w:top w:w="110" w:type="dxa"/>
              <w:start w:w="130" w:type="dxa"/>
              <w:bottom w:w="110" w:type="dxa"/>
              <w:end w:w="130" w:type="dxa"/>
            </w:tcMar>
          </w:tcPr>
          <w:p>
            <w:r>
              <w:rPr>
                <w:b/>
              </w:rPr>
              <w:t>Audience</w:t>
            </w:r>
          </w:p>
        </w:tc>
        <w:tc>
          <w:tcPr>
            <w:tcW w:type="dxa" w:w="4939"/>
            <w:vAlign w:val="center"/>
            <w:tcMar>
              <w:top w:w="110" w:type="dxa"/>
              <w:start w:w="130" w:type="dxa"/>
              <w:bottom w:w="110" w:type="dxa"/>
              <w:end w:w="130" w:type="dxa"/>
            </w:tcMar>
          </w:tcPr>
          <w:p>
            <w:r>
              <w:t>Project managers, delivery leads, consultants and people new to formal project management</w:t>
            </w:r>
          </w:p>
        </w:tc>
      </w:tr>
      <w:tr>
        <w:tc>
          <w:tcPr>
            <w:tcW w:type="dxa" w:w="4939"/>
            <w:shd w:fill="EDF3F7"/>
            <w:vAlign w:val="center"/>
            <w:tcMar>
              <w:top w:w="110" w:type="dxa"/>
              <w:start w:w="130" w:type="dxa"/>
              <w:bottom w:w="110" w:type="dxa"/>
              <w:end w:w="130" w:type="dxa"/>
            </w:tcMar>
          </w:tcPr>
          <w:p>
            <w:r>
              <w:rPr>
                <w:b/>
              </w:rPr>
              <w:t>Release basis</w:t>
            </w:r>
          </w:p>
        </w:tc>
        <w:tc>
          <w:tcPr>
            <w:tcW w:type="dxa" w:w="4939"/>
            <w:vAlign w:val="center"/>
            <w:tcMar>
              <w:top w:w="110" w:type="dxa"/>
              <w:start w:w="130" w:type="dxa"/>
              <w:bottom w:w="110" w:type="dxa"/>
              <w:end w:w="130" w:type="dxa"/>
            </w:tcMar>
          </w:tcPr>
          <w:p>
            <w:r>
              <w:t>ArkHimar PM private beta and implementation phases 0 through 8</w:t>
            </w:r>
          </w:p>
        </w:tc>
      </w:tr>
      <w:tr>
        <w:tc>
          <w:tcPr>
            <w:tcW w:type="dxa" w:w="4939"/>
            <w:shd w:fill="EDF3F7"/>
            <w:vAlign w:val="center"/>
            <w:tcMar>
              <w:top w:w="110" w:type="dxa"/>
              <w:start w:w="130" w:type="dxa"/>
              <w:bottom w:w="110" w:type="dxa"/>
              <w:end w:w="130" w:type="dxa"/>
            </w:tcMar>
          </w:tcPr>
          <w:p>
            <w:r>
              <w:rPr>
                <w:b/>
              </w:rPr>
              <w:t>Document date</w:t>
            </w:r>
          </w:p>
        </w:tc>
        <w:tc>
          <w:tcPr>
            <w:tcW w:type="dxa" w:w="4939"/>
            <w:vAlign w:val="center"/>
            <w:tcMar>
              <w:top w:w="110" w:type="dxa"/>
              <w:start w:w="130" w:type="dxa"/>
              <w:bottom w:w="110" w:type="dxa"/>
              <w:end w:w="130" w:type="dxa"/>
            </w:tcMar>
          </w:tcPr>
          <w:p>
            <w:r>
              <w:t>9 September 2026</w:t>
            </w:r>
          </w:p>
        </w:tc>
      </w:tr>
    </w:tbl>
    <w:p/>
    <w:p>
      <w:pPr>
        <w:keepLines/>
      </w:pPr>
      <w:r>
        <w:t>This handbook explains how to take a project from an initial business need through authorization, planning, delivery, control, reporting and handover using ArkHimar PM. It also explains the management habits behind each screen so that a new project manager can use the platform with professional judgment rather than treating it as a form-filling exercise.</w:t>
      </w:r>
    </w:p>
    <w:p>
      <w:pPr>
        <w:keepLines/>
      </w:pPr>
      <w:r>
        <w:t>The project manager owns integration. Functional specialists may own estimates, designs, risks or deliverables, but the project manager must keep the business case, charter, scope, schedule, cost, controls, execution data and decisions consistent.</w:t>
      </w:r>
    </w:p>
    <w:p>
      <w:pPr>
        <w:pStyle w:val="Heading1"/>
        <w:keepNext/>
      </w:pPr>
      <w:r>
        <w:t>How to use this handbook</w:t>
      </w:r>
    </w:p>
    <w:p>
      <w:pPr>
        <w:pStyle w:val="ListBullet"/>
        <w:spacing w:after="60"/>
        <w:keepLines/>
      </w:pPr>
      <w:r>
        <w:t>Read Project management foundations before creating your first live project.</w:t>
      </w:r>
    </w:p>
    <w:p>
      <w:pPr>
        <w:pStyle w:val="ListBullet"/>
        <w:spacing w:after="60"/>
        <w:keepLines/>
      </w:pPr>
      <w:r>
        <w:t>Follow the lifecycle chapters in sequence for a new project.</w:t>
      </w:r>
    </w:p>
    <w:p>
      <w:pPr>
        <w:pStyle w:val="ListBullet"/>
        <w:spacing w:after="60"/>
        <w:keepLines/>
      </w:pPr>
      <w:r>
        <w:t>Use the weekly operating rhythm and checklists during delivery.</w:t>
      </w:r>
    </w:p>
    <w:p>
      <w:pPr>
        <w:pStyle w:val="ListBullet"/>
        <w:spacing w:after="60"/>
        <w:keepLines/>
      </w:pPr>
      <w:r>
        <w:t>Consult the platform boundaries before promising a workflow to sponsors or external parties.</w:t>
      </w:r>
    </w:p>
    <w:p>
      <w:pPr>
        <w:pStyle w:val="Heading1"/>
        <w:keepNext/>
      </w:pPr>
      <w:r>
        <w:t>Project management foundations</w:t>
      </w:r>
    </w:p>
    <w:p>
      <w:pPr>
        <w:keepLines/>
      </w:pPr>
      <w:r>
        <w:t>A project is a temporary effort undertaken to create a defined result. It differs from operations, which repeat ongoing work. Effective project management makes five things explicit: why the project exists, what result is authorized, how the work will be delivered, how performance and uncertainty will be controlled, and who may make each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800"/>
            <w:shd w:fill="17324D"/>
            <w:vAlign w:val="center"/>
            <w:tcMar>
              <w:top w:w="110" w:type="dxa"/>
              <w:start w:w="130" w:type="dxa"/>
              <w:bottom w:w="110" w:type="dxa"/>
              <w:end w:w="130" w:type="dxa"/>
            </w:tcMar>
          </w:tcPr>
          <w:p>
            <w:r>
              <w:rPr>
                <w:b/>
                <w:color w:val="FFFFFF"/>
                <w:sz w:val="18"/>
              </w:rPr>
              <w:t>Concept</w:t>
            </w:r>
          </w:p>
        </w:tc>
        <w:tc>
          <w:tcPr>
            <w:tcW w:type="dxa" w:w="3888"/>
            <w:shd w:fill="17324D"/>
            <w:vAlign w:val="center"/>
            <w:tcMar>
              <w:top w:w="110" w:type="dxa"/>
              <w:start w:w="130" w:type="dxa"/>
              <w:bottom w:w="110" w:type="dxa"/>
              <w:end w:w="130" w:type="dxa"/>
            </w:tcMar>
          </w:tcPr>
          <w:p>
            <w:r>
              <w:rPr>
                <w:b/>
                <w:color w:val="FFFFFF"/>
                <w:sz w:val="18"/>
              </w:rPr>
              <w:t>Plain meaning</w:t>
            </w:r>
          </w:p>
        </w:tc>
        <w:tc>
          <w:tcPr>
            <w:tcW w:type="dxa" w:w="5112"/>
            <w:shd w:fill="17324D"/>
            <w:vAlign w:val="center"/>
            <w:tcMar>
              <w:top w:w="110" w:type="dxa"/>
              <w:start w:w="130" w:type="dxa"/>
              <w:bottom w:w="110" w:type="dxa"/>
              <w:end w:w="130" w:type="dxa"/>
            </w:tcMar>
          </w:tcPr>
          <w:p>
            <w:r>
              <w:rPr>
                <w:b/>
                <w:color w:val="FFFFFF"/>
                <w:sz w:val="18"/>
              </w:rPr>
              <w:t>Why it matters</w:t>
            </w:r>
          </w:p>
        </w:tc>
      </w:tr>
      <w:tr>
        <w:tc>
          <w:tcPr>
            <w:tcW w:type="dxa" w:w="1800"/>
            <w:vAlign w:val="center"/>
            <w:tcMar>
              <w:top w:w="110" w:type="dxa"/>
              <w:start w:w="130" w:type="dxa"/>
              <w:bottom w:w="110" w:type="dxa"/>
              <w:end w:w="130" w:type="dxa"/>
            </w:tcMar>
          </w:tcPr>
          <w:p>
            <w:pPr>
              <w:spacing w:after="0" w:line="252" w:lineRule="auto"/>
            </w:pPr>
            <w:r>
              <w:rPr>
                <w:sz w:val="17"/>
              </w:rPr>
              <w:t>Business case</w:t>
            </w:r>
          </w:p>
        </w:tc>
        <w:tc>
          <w:tcPr>
            <w:tcW w:type="dxa" w:w="3888"/>
            <w:vAlign w:val="center"/>
            <w:tcMar>
              <w:top w:w="110" w:type="dxa"/>
              <w:start w:w="130" w:type="dxa"/>
              <w:bottom w:w="110" w:type="dxa"/>
              <w:end w:w="130" w:type="dxa"/>
            </w:tcMar>
          </w:tcPr>
          <w:p>
            <w:pPr>
              <w:spacing w:after="0" w:line="252" w:lineRule="auto"/>
            </w:pPr>
            <w:r>
              <w:rPr>
                <w:sz w:val="17"/>
              </w:rPr>
              <w:t>The evidence and options supporting an investment decision</w:t>
            </w:r>
          </w:p>
        </w:tc>
        <w:tc>
          <w:tcPr>
            <w:tcW w:type="dxa" w:w="5112"/>
            <w:vAlign w:val="center"/>
            <w:tcMar>
              <w:top w:w="110" w:type="dxa"/>
              <w:start w:w="130" w:type="dxa"/>
              <w:bottom w:w="110" w:type="dxa"/>
              <w:end w:w="130" w:type="dxa"/>
            </w:tcMar>
          </w:tcPr>
          <w:p>
            <w:pPr>
              <w:spacing w:after="0" w:line="252" w:lineRule="auto"/>
            </w:pPr>
            <w:r>
              <w:rPr>
                <w:sz w:val="17"/>
              </w:rPr>
              <w:t>Prevents a team from delivering work that no longer has sufficient value</w:t>
            </w:r>
          </w:p>
        </w:tc>
      </w:tr>
      <w:tr>
        <w:tc>
          <w:tcPr>
            <w:tcW w:type="dxa" w:w="1800"/>
            <w:vAlign w:val="center"/>
            <w:shd w:fill="F5F5F3"/>
            <w:tcMar>
              <w:top w:w="110" w:type="dxa"/>
              <w:start w:w="130" w:type="dxa"/>
              <w:bottom w:w="110" w:type="dxa"/>
              <w:end w:w="130" w:type="dxa"/>
            </w:tcMar>
          </w:tcPr>
          <w:p>
            <w:pPr>
              <w:spacing w:after="0" w:line="252" w:lineRule="auto"/>
            </w:pPr>
            <w:r>
              <w:rPr>
                <w:sz w:val="17"/>
              </w:rPr>
              <w:t>Charter</w:t>
            </w:r>
          </w:p>
        </w:tc>
        <w:tc>
          <w:tcPr>
            <w:tcW w:type="dxa" w:w="3888"/>
            <w:vAlign w:val="center"/>
            <w:shd w:fill="F5F5F3"/>
            <w:tcMar>
              <w:top w:w="110" w:type="dxa"/>
              <w:start w:w="130" w:type="dxa"/>
              <w:bottom w:w="110" w:type="dxa"/>
              <w:end w:w="130" w:type="dxa"/>
            </w:tcMar>
          </w:tcPr>
          <w:p>
            <w:pPr>
              <w:spacing w:after="0" w:line="252" w:lineRule="auto"/>
            </w:pPr>
            <w:r>
              <w:rPr>
                <w:sz w:val="17"/>
              </w:rPr>
              <w:t>The formal authorization for the project and the project manager</w:t>
            </w:r>
          </w:p>
        </w:tc>
        <w:tc>
          <w:tcPr>
            <w:tcW w:type="dxa" w:w="5112"/>
            <w:vAlign w:val="center"/>
            <w:shd w:fill="F5F5F3"/>
            <w:tcMar>
              <w:top w:w="110" w:type="dxa"/>
              <w:start w:w="130" w:type="dxa"/>
              <w:bottom w:w="110" w:type="dxa"/>
              <w:end w:w="130" w:type="dxa"/>
            </w:tcMar>
          </w:tcPr>
          <w:p>
            <w:pPr>
              <w:spacing w:after="0" w:line="252" w:lineRule="auto"/>
            </w:pPr>
            <w:r>
              <w:rPr>
                <w:sz w:val="17"/>
              </w:rPr>
              <w:t>Defines objectives, boundaries, authority and sponsor accountability</w:t>
            </w:r>
          </w:p>
        </w:tc>
      </w:tr>
      <w:tr>
        <w:tc>
          <w:tcPr>
            <w:tcW w:type="dxa" w:w="1800"/>
            <w:vAlign w:val="center"/>
            <w:tcMar>
              <w:top w:w="110" w:type="dxa"/>
              <w:start w:w="130" w:type="dxa"/>
              <w:bottom w:w="110" w:type="dxa"/>
              <w:end w:w="130" w:type="dxa"/>
            </w:tcMar>
          </w:tcPr>
          <w:p>
            <w:pPr>
              <w:spacing w:after="0" w:line="252" w:lineRule="auto"/>
            </w:pPr>
            <w:r>
              <w:rPr>
                <w:sz w:val="17"/>
              </w:rPr>
              <w:t>Requirement</w:t>
            </w:r>
          </w:p>
        </w:tc>
        <w:tc>
          <w:tcPr>
            <w:tcW w:type="dxa" w:w="3888"/>
            <w:vAlign w:val="center"/>
            <w:tcMar>
              <w:top w:w="110" w:type="dxa"/>
              <w:start w:w="130" w:type="dxa"/>
              <w:bottom w:w="110" w:type="dxa"/>
              <w:end w:w="130" w:type="dxa"/>
            </w:tcMar>
          </w:tcPr>
          <w:p>
            <w:pPr>
              <w:spacing w:after="0" w:line="252" w:lineRule="auto"/>
            </w:pPr>
            <w:r>
              <w:rPr>
                <w:sz w:val="17"/>
              </w:rPr>
              <w:t>A condition or capability the result must satisfy</w:t>
            </w:r>
          </w:p>
        </w:tc>
        <w:tc>
          <w:tcPr>
            <w:tcW w:type="dxa" w:w="5112"/>
            <w:vAlign w:val="center"/>
            <w:tcMar>
              <w:top w:w="110" w:type="dxa"/>
              <w:start w:w="130" w:type="dxa"/>
              <w:bottom w:w="110" w:type="dxa"/>
              <w:end w:w="130" w:type="dxa"/>
            </w:tcMar>
          </w:tcPr>
          <w:p>
            <w:pPr>
              <w:spacing w:after="0" w:line="252" w:lineRule="auto"/>
            </w:pPr>
            <w:r>
              <w:rPr>
                <w:sz w:val="17"/>
              </w:rPr>
              <w:t>Turns stakeholder needs into something that can be traced and tested</w:t>
            </w:r>
          </w:p>
        </w:tc>
      </w:tr>
      <w:tr>
        <w:tc>
          <w:tcPr>
            <w:tcW w:type="dxa" w:w="1800"/>
            <w:vAlign w:val="center"/>
            <w:shd w:fill="F5F5F3"/>
            <w:tcMar>
              <w:top w:w="110" w:type="dxa"/>
              <w:start w:w="130" w:type="dxa"/>
              <w:bottom w:w="110" w:type="dxa"/>
              <w:end w:w="130" w:type="dxa"/>
            </w:tcMar>
          </w:tcPr>
          <w:p>
            <w:pPr>
              <w:spacing w:after="0" w:line="252" w:lineRule="auto"/>
            </w:pPr>
            <w:r>
              <w:rPr>
                <w:sz w:val="17"/>
              </w:rPr>
              <w:t>WBS</w:t>
            </w:r>
          </w:p>
        </w:tc>
        <w:tc>
          <w:tcPr>
            <w:tcW w:type="dxa" w:w="3888"/>
            <w:vAlign w:val="center"/>
            <w:shd w:fill="F5F5F3"/>
            <w:tcMar>
              <w:top w:w="110" w:type="dxa"/>
              <w:start w:w="130" w:type="dxa"/>
              <w:bottom w:w="110" w:type="dxa"/>
              <w:end w:w="130" w:type="dxa"/>
            </w:tcMar>
          </w:tcPr>
          <w:p>
            <w:pPr>
              <w:spacing w:after="0" w:line="252" w:lineRule="auto"/>
            </w:pPr>
            <w:r>
              <w:rPr>
                <w:sz w:val="17"/>
              </w:rPr>
              <w:t>A hierarchical breakdown of the complete project scope</w:t>
            </w:r>
          </w:p>
        </w:tc>
        <w:tc>
          <w:tcPr>
            <w:tcW w:type="dxa" w:w="5112"/>
            <w:vAlign w:val="center"/>
            <w:shd w:fill="F5F5F3"/>
            <w:tcMar>
              <w:top w:w="110" w:type="dxa"/>
              <w:start w:w="130" w:type="dxa"/>
              <w:bottom w:w="110" w:type="dxa"/>
              <w:end w:w="130" w:type="dxa"/>
            </w:tcMar>
          </w:tcPr>
          <w:p>
            <w:pPr>
              <w:spacing w:after="0" w:line="252" w:lineRule="auto"/>
            </w:pPr>
            <w:r>
              <w:rPr>
                <w:sz w:val="17"/>
              </w:rPr>
              <w:t>Creates manageable work packages and prevents omitted work</w:t>
            </w:r>
          </w:p>
        </w:tc>
      </w:tr>
      <w:tr>
        <w:tc>
          <w:tcPr>
            <w:tcW w:type="dxa" w:w="1800"/>
            <w:vAlign w:val="center"/>
            <w:tcMar>
              <w:top w:w="110" w:type="dxa"/>
              <w:start w:w="130" w:type="dxa"/>
              <w:bottom w:w="110" w:type="dxa"/>
              <w:end w:w="130" w:type="dxa"/>
            </w:tcMar>
          </w:tcPr>
          <w:p>
            <w:pPr>
              <w:spacing w:after="0" w:line="252" w:lineRule="auto"/>
            </w:pPr>
            <w:r>
              <w:rPr>
                <w:sz w:val="17"/>
              </w:rPr>
              <w:t>Baseline</w:t>
            </w:r>
          </w:p>
        </w:tc>
        <w:tc>
          <w:tcPr>
            <w:tcW w:type="dxa" w:w="3888"/>
            <w:vAlign w:val="center"/>
            <w:tcMar>
              <w:top w:w="110" w:type="dxa"/>
              <w:start w:w="130" w:type="dxa"/>
              <w:bottom w:w="110" w:type="dxa"/>
              <w:end w:w="130" w:type="dxa"/>
            </w:tcMar>
          </w:tcPr>
          <w:p>
            <w:pPr>
              <w:spacing w:after="0" w:line="252" w:lineRule="auto"/>
            </w:pPr>
            <w:r>
              <w:rPr>
                <w:sz w:val="17"/>
              </w:rPr>
              <w:t>The approved scope, schedule or cost reference point</w:t>
            </w:r>
          </w:p>
        </w:tc>
        <w:tc>
          <w:tcPr>
            <w:tcW w:type="dxa" w:w="5112"/>
            <w:vAlign w:val="center"/>
            <w:tcMar>
              <w:top w:w="110" w:type="dxa"/>
              <w:start w:w="130" w:type="dxa"/>
              <w:bottom w:w="110" w:type="dxa"/>
              <w:end w:w="130" w:type="dxa"/>
            </w:tcMar>
          </w:tcPr>
          <w:p>
            <w:pPr>
              <w:spacing w:after="0" w:line="252" w:lineRule="auto"/>
            </w:pPr>
            <w:r>
              <w:rPr>
                <w:sz w:val="17"/>
              </w:rPr>
              <w:t>Makes variance meaningful and prevents silent changes</w:t>
            </w:r>
          </w:p>
        </w:tc>
      </w:tr>
      <w:tr>
        <w:tc>
          <w:tcPr>
            <w:tcW w:type="dxa" w:w="1800"/>
            <w:vAlign w:val="center"/>
            <w:shd w:fill="F5F5F3"/>
            <w:tcMar>
              <w:top w:w="110" w:type="dxa"/>
              <w:start w:w="130" w:type="dxa"/>
              <w:bottom w:w="110" w:type="dxa"/>
              <w:end w:w="130" w:type="dxa"/>
            </w:tcMar>
          </w:tcPr>
          <w:p>
            <w:pPr>
              <w:spacing w:after="0" w:line="252" w:lineRule="auto"/>
            </w:pPr>
            <w:r>
              <w:rPr>
                <w:sz w:val="17"/>
              </w:rPr>
              <w:t>Risk</w:t>
            </w:r>
          </w:p>
        </w:tc>
        <w:tc>
          <w:tcPr>
            <w:tcW w:type="dxa" w:w="3888"/>
            <w:vAlign w:val="center"/>
            <w:shd w:fill="F5F5F3"/>
            <w:tcMar>
              <w:top w:w="110" w:type="dxa"/>
              <w:start w:w="130" w:type="dxa"/>
              <w:bottom w:w="110" w:type="dxa"/>
              <w:end w:w="130" w:type="dxa"/>
            </w:tcMar>
          </w:tcPr>
          <w:p>
            <w:pPr>
              <w:spacing w:after="0" w:line="252" w:lineRule="auto"/>
            </w:pPr>
            <w:r>
              <w:rPr>
                <w:sz w:val="17"/>
              </w:rPr>
              <w:t>An uncertain event that may affect objectives</w:t>
            </w:r>
          </w:p>
        </w:tc>
        <w:tc>
          <w:tcPr>
            <w:tcW w:type="dxa" w:w="5112"/>
            <w:vAlign w:val="center"/>
            <w:shd w:fill="F5F5F3"/>
            <w:tcMar>
              <w:top w:w="110" w:type="dxa"/>
              <w:start w:w="130" w:type="dxa"/>
              <w:bottom w:w="110" w:type="dxa"/>
              <w:end w:w="130" w:type="dxa"/>
            </w:tcMar>
          </w:tcPr>
          <w:p>
            <w:pPr>
              <w:spacing w:after="0" w:line="252" w:lineRule="auto"/>
            </w:pPr>
            <w:r>
              <w:rPr>
                <w:sz w:val="17"/>
              </w:rPr>
              <w:t>Requires anticipation and a planned response</w:t>
            </w:r>
          </w:p>
        </w:tc>
      </w:tr>
      <w:tr>
        <w:tc>
          <w:tcPr>
            <w:tcW w:type="dxa" w:w="1800"/>
            <w:vAlign w:val="center"/>
            <w:tcMar>
              <w:top w:w="110" w:type="dxa"/>
              <w:start w:w="130" w:type="dxa"/>
              <w:bottom w:w="110" w:type="dxa"/>
              <w:end w:w="130" w:type="dxa"/>
            </w:tcMar>
          </w:tcPr>
          <w:p>
            <w:pPr>
              <w:spacing w:after="0" w:line="252" w:lineRule="auto"/>
            </w:pPr>
            <w:r>
              <w:rPr>
                <w:sz w:val="17"/>
              </w:rPr>
              <w:t>Issue</w:t>
            </w:r>
          </w:p>
        </w:tc>
        <w:tc>
          <w:tcPr>
            <w:tcW w:type="dxa" w:w="3888"/>
            <w:vAlign w:val="center"/>
            <w:tcMar>
              <w:top w:w="110" w:type="dxa"/>
              <w:start w:w="130" w:type="dxa"/>
              <w:bottom w:w="110" w:type="dxa"/>
              <w:end w:w="130" w:type="dxa"/>
            </w:tcMar>
          </w:tcPr>
          <w:p>
            <w:pPr>
              <w:spacing w:after="0" w:line="252" w:lineRule="auto"/>
            </w:pPr>
            <w:r>
              <w:rPr>
                <w:sz w:val="17"/>
              </w:rPr>
              <w:t>A problem that has already happened</w:t>
            </w:r>
          </w:p>
        </w:tc>
        <w:tc>
          <w:tcPr>
            <w:tcW w:type="dxa" w:w="5112"/>
            <w:vAlign w:val="center"/>
            <w:tcMar>
              <w:top w:w="110" w:type="dxa"/>
              <w:start w:w="130" w:type="dxa"/>
              <w:bottom w:w="110" w:type="dxa"/>
              <w:end w:w="130" w:type="dxa"/>
            </w:tcMar>
          </w:tcPr>
          <w:p>
            <w:pPr>
              <w:spacing w:after="0" w:line="252" w:lineRule="auto"/>
            </w:pPr>
            <w:r>
              <w:rPr>
                <w:sz w:val="17"/>
              </w:rPr>
              <w:t>Requires resolution, ownership and often escalation</w:t>
            </w:r>
          </w:p>
        </w:tc>
      </w:tr>
      <w:tr>
        <w:tc>
          <w:tcPr>
            <w:tcW w:type="dxa" w:w="1800"/>
            <w:vAlign w:val="center"/>
            <w:shd w:fill="F5F5F3"/>
            <w:tcMar>
              <w:top w:w="110" w:type="dxa"/>
              <w:start w:w="130" w:type="dxa"/>
              <w:bottom w:w="110" w:type="dxa"/>
              <w:end w:w="130" w:type="dxa"/>
            </w:tcMar>
          </w:tcPr>
          <w:p>
            <w:pPr>
              <w:spacing w:after="0" w:line="252" w:lineRule="auto"/>
            </w:pPr>
            <w:r>
              <w:rPr>
                <w:sz w:val="17"/>
              </w:rPr>
              <w:t>Change request</w:t>
            </w:r>
          </w:p>
        </w:tc>
        <w:tc>
          <w:tcPr>
            <w:tcW w:type="dxa" w:w="3888"/>
            <w:vAlign w:val="center"/>
            <w:shd w:fill="F5F5F3"/>
            <w:tcMar>
              <w:top w:w="110" w:type="dxa"/>
              <w:start w:w="130" w:type="dxa"/>
              <w:bottom w:w="110" w:type="dxa"/>
              <w:end w:w="130" w:type="dxa"/>
            </w:tcMar>
          </w:tcPr>
          <w:p>
            <w:pPr>
              <w:spacing w:after="0" w:line="252" w:lineRule="auto"/>
            </w:pPr>
            <w:r>
              <w:rPr>
                <w:sz w:val="17"/>
              </w:rPr>
              <w:t>A proposed alteration to an approved commitment</w:t>
            </w:r>
          </w:p>
        </w:tc>
        <w:tc>
          <w:tcPr>
            <w:tcW w:type="dxa" w:w="5112"/>
            <w:vAlign w:val="center"/>
            <w:shd w:fill="F5F5F3"/>
            <w:tcMar>
              <w:top w:w="110" w:type="dxa"/>
              <w:start w:w="130" w:type="dxa"/>
              <w:bottom w:w="110" w:type="dxa"/>
              <w:end w:w="130" w:type="dxa"/>
            </w:tcMar>
          </w:tcPr>
          <w:p>
            <w:pPr>
              <w:spacing w:after="0" w:line="252" w:lineRule="auto"/>
            </w:pPr>
            <w:r>
              <w:rPr>
                <w:sz w:val="17"/>
              </w:rPr>
              <w:t>Allows impact analysis and authorization before implementation</w:t>
            </w:r>
          </w:p>
        </w:tc>
      </w:tr>
      <w:tr>
        <w:tc>
          <w:tcPr>
            <w:tcW w:type="dxa" w:w="1800"/>
            <w:vAlign w:val="center"/>
            <w:tcMar>
              <w:top w:w="110" w:type="dxa"/>
              <w:start w:w="130" w:type="dxa"/>
              <w:bottom w:w="110" w:type="dxa"/>
              <w:end w:w="130" w:type="dxa"/>
            </w:tcMar>
          </w:tcPr>
          <w:p>
            <w:pPr>
              <w:spacing w:after="0" w:line="252" w:lineRule="auto"/>
            </w:pPr>
            <w:r>
              <w:rPr>
                <w:sz w:val="17"/>
              </w:rPr>
              <w:t>Governance</w:t>
            </w:r>
          </w:p>
        </w:tc>
        <w:tc>
          <w:tcPr>
            <w:tcW w:type="dxa" w:w="3888"/>
            <w:vAlign w:val="center"/>
            <w:tcMar>
              <w:top w:w="110" w:type="dxa"/>
              <w:start w:w="130" w:type="dxa"/>
              <w:bottom w:w="110" w:type="dxa"/>
              <w:end w:w="130" w:type="dxa"/>
            </w:tcMar>
          </w:tcPr>
          <w:p>
            <w:pPr>
              <w:spacing w:after="0" w:line="252" w:lineRule="auto"/>
            </w:pPr>
            <w:r>
              <w:rPr>
                <w:sz w:val="17"/>
              </w:rPr>
              <w:t>The decision rights, review forums and escalation rules around the project</w:t>
            </w:r>
          </w:p>
        </w:tc>
        <w:tc>
          <w:tcPr>
            <w:tcW w:type="dxa" w:w="5112"/>
            <w:vAlign w:val="center"/>
            <w:tcMar>
              <w:top w:w="110" w:type="dxa"/>
              <w:start w:w="130" w:type="dxa"/>
              <w:bottom w:w="110" w:type="dxa"/>
              <w:end w:w="130" w:type="dxa"/>
            </w:tcMar>
          </w:tcPr>
          <w:p>
            <w:pPr>
              <w:spacing w:after="0" w:line="252" w:lineRule="auto"/>
            </w:pPr>
            <w:r>
              <w:rPr>
                <w:sz w:val="17"/>
              </w:rPr>
              <w:t>Ensures material decisions are made by the right people</w:t>
            </w:r>
          </w:p>
        </w:tc>
      </w:tr>
    </w:tbl>
    <w:p>
      <w:pPr>
        <w:spacing w:after="20"/>
      </w:pPr>
    </w:p>
    <w:p>
      <w:pPr>
        <w:pStyle w:val="Heading2"/>
        <w:keepNext/>
      </w:pPr>
      <w:r>
        <w:t>Your accountability as project manager</w:t>
      </w:r>
    </w:p>
    <w:p>
      <w:pPr>
        <w:pStyle w:val="ListBullet"/>
        <w:spacing w:after="60"/>
        <w:keepLines/>
      </w:pPr>
      <w:r>
        <w:rPr>
          <w:b/>
        </w:rPr>
        <w:t xml:space="preserve">Integrate the plan. </w:t>
      </w:r>
      <w:r>
        <w:t>Connect objectives, requirements, WBS, activities, costs, risks, work items and acceptance evidence.</w:t>
      </w:r>
    </w:p>
    <w:p>
      <w:pPr>
        <w:pStyle w:val="ListBullet"/>
        <w:spacing w:after="60"/>
        <w:keepLines/>
      </w:pPr>
      <w:r>
        <w:rPr>
          <w:b/>
        </w:rPr>
        <w:t xml:space="preserve">Maintain reliable records. </w:t>
      </w:r>
      <w:r>
        <w:t>Update facts at an agreed cut-off and preserve approved versions instead of rewriting history.</w:t>
      </w:r>
    </w:p>
    <w:p>
      <w:pPr>
        <w:pStyle w:val="ListBullet"/>
        <w:spacing w:after="60"/>
        <w:keepLines/>
      </w:pPr>
      <w:r>
        <w:rPr>
          <w:b/>
        </w:rPr>
        <w:t xml:space="preserve">Make decisions visible. </w:t>
      </w:r>
      <w:r>
        <w:t>Record the owner, options, impact, decision, comments and date.</w:t>
      </w:r>
    </w:p>
    <w:p>
      <w:pPr>
        <w:pStyle w:val="ListBullet"/>
        <w:spacing w:after="60"/>
        <w:keepLines/>
      </w:pPr>
      <w:r>
        <w:rPr>
          <w:b/>
        </w:rPr>
        <w:t xml:space="preserve">Escalate early. </w:t>
      </w:r>
      <w:r>
        <w:t>Raise matters before tolerance is exceeded, not after a missed commitment becomes unavoidable.</w:t>
      </w:r>
    </w:p>
    <w:p>
      <w:pPr>
        <w:pStyle w:val="ListBullet"/>
        <w:spacing w:after="60"/>
        <w:keepLines/>
      </w:pPr>
      <w:r>
        <w:rPr>
          <w:b/>
        </w:rPr>
        <w:t xml:space="preserve">Protect trust. </w:t>
      </w:r>
      <w:r>
        <w:t>Separate facts from forecasts, disclose uncertainty and limit access to confidential information.</w:t>
      </w:r>
    </w:p>
    <w:p>
      <w:pPr>
        <w:pStyle w:val="Heading2"/>
        <w:keepNext/>
      </w:pPr>
      <w:r>
        <w:t>Choosing a delivery approach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440"/>
            <w:shd w:fill="17324D"/>
            <w:vAlign w:val="center"/>
            <w:tcMar>
              <w:top w:w="110" w:type="dxa"/>
              <w:start w:w="130" w:type="dxa"/>
              <w:bottom w:w="110" w:type="dxa"/>
              <w:end w:w="130" w:type="dxa"/>
            </w:tcMar>
          </w:tcPr>
          <w:p>
            <w:r>
              <w:rPr>
                <w:b/>
                <w:color w:val="FFFFFF"/>
                <w:sz w:val="18"/>
              </w:rPr>
              <w:t>Approach</w:t>
            </w:r>
          </w:p>
        </w:tc>
        <w:tc>
          <w:tcPr>
            <w:tcW w:type="dxa" w:w="4608"/>
            <w:shd w:fill="17324D"/>
            <w:vAlign w:val="center"/>
            <w:tcMar>
              <w:top w:w="110" w:type="dxa"/>
              <w:start w:w="130" w:type="dxa"/>
              <w:bottom w:w="110" w:type="dxa"/>
              <w:end w:w="130" w:type="dxa"/>
            </w:tcMar>
          </w:tcPr>
          <w:p>
            <w:r>
              <w:rPr>
                <w:b/>
                <w:color w:val="FFFFFF"/>
                <w:sz w:val="18"/>
              </w:rPr>
              <w:t>Use when</w:t>
            </w:r>
          </w:p>
        </w:tc>
        <w:tc>
          <w:tcPr>
            <w:tcW w:type="dxa" w:w="4752"/>
            <w:shd w:fill="17324D"/>
            <w:vAlign w:val="center"/>
            <w:tcMar>
              <w:top w:w="110" w:type="dxa"/>
              <w:start w:w="130" w:type="dxa"/>
              <w:bottom w:w="110" w:type="dxa"/>
              <w:end w:w="130" w:type="dxa"/>
            </w:tcMar>
          </w:tcPr>
          <w:p>
            <w:r>
              <w:rPr>
                <w:b/>
                <w:color w:val="FFFFFF"/>
                <w:sz w:val="18"/>
              </w:rPr>
              <w:t>Control emphasis</w:t>
            </w:r>
          </w:p>
        </w:tc>
      </w:tr>
      <w:tr>
        <w:tc>
          <w:tcPr>
            <w:tcW w:type="dxa" w:w="1440"/>
            <w:vAlign w:val="center"/>
            <w:tcMar>
              <w:top w:w="110" w:type="dxa"/>
              <w:start w:w="130" w:type="dxa"/>
              <w:bottom w:w="110" w:type="dxa"/>
              <w:end w:w="130" w:type="dxa"/>
            </w:tcMar>
          </w:tcPr>
          <w:p>
            <w:pPr>
              <w:spacing w:after="0" w:line="252" w:lineRule="auto"/>
            </w:pPr>
            <w:r>
              <w:rPr>
                <w:sz w:val="17"/>
              </w:rPr>
              <w:t>Predictive</w:t>
            </w:r>
          </w:p>
        </w:tc>
        <w:tc>
          <w:tcPr>
            <w:tcW w:type="dxa" w:w="4608"/>
            <w:vAlign w:val="center"/>
            <w:tcMar>
              <w:top w:w="110" w:type="dxa"/>
              <w:start w:w="130" w:type="dxa"/>
              <w:bottom w:w="110" w:type="dxa"/>
              <w:end w:w="130" w:type="dxa"/>
            </w:tcMar>
          </w:tcPr>
          <w:p>
            <w:pPr>
              <w:spacing w:after="0" w:line="252" w:lineRule="auto"/>
            </w:pPr>
            <w:r>
              <w:rPr>
                <w:sz w:val="17"/>
              </w:rPr>
              <w:t>Scope is sufficiently understood and work follows dependent stages</w:t>
            </w:r>
          </w:p>
        </w:tc>
        <w:tc>
          <w:tcPr>
            <w:tcW w:type="dxa" w:w="4752"/>
            <w:vAlign w:val="center"/>
            <w:tcMar>
              <w:top w:w="110" w:type="dxa"/>
              <w:start w:w="130" w:type="dxa"/>
              <w:bottom w:w="110" w:type="dxa"/>
              <w:end w:w="130" w:type="dxa"/>
            </w:tcMar>
          </w:tcPr>
          <w:p>
            <w:pPr>
              <w:spacing w:after="0" w:line="252" w:lineRule="auto"/>
            </w:pPr>
            <w:r>
              <w:rPr>
                <w:sz w:val="17"/>
              </w:rPr>
              <w:t>WBS, network schedule, baselines, milestones and stage gates</w:t>
            </w:r>
          </w:p>
        </w:tc>
      </w:tr>
      <w:tr>
        <w:tc>
          <w:tcPr>
            <w:tcW w:type="dxa" w:w="1440"/>
            <w:vAlign w:val="center"/>
            <w:shd w:fill="F5F5F3"/>
            <w:tcMar>
              <w:top w:w="110" w:type="dxa"/>
              <w:start w:w="130" w:type="dxa"/>
              <w:bottom w:w="110" w:type="dxa"/>
              <w:end w:w="130" w:type="dxa"/>
            </w:tcMar>
          </w:tcPr>
          <w:p>
            <w:pPr>
              <w:spacing w:after="0" w:line="252" w:lineRule="auto"/>
            </w:pPr>
            <w:r>
              <w:rPr>
                <w:sz w:val="17"/>
              </w:rPr>
              <w:t>Agile</w:t>
            </w:r>
          </w:p>
        </w:tc>
        <w:tc>
          <w:tcPr>
            <w:tcW w:type="dxa" w:w="4608"/>
            <w:vAlign w:val="center"/>
            <w:shd w:fill="F5F5F3"/>
            <w:tcMar>
              <w:top w:w="110" w:type="dxa"/>
              <w:start w:w="130" w:type="dxa"/>
              <w:bottom w:w="110" w:type="dxa"/>
              <w:end w:w="130" w:type="dxa"/>
            </w:tcMar>
          </w:tcPr>
          <w:p>
            <w:pPr>
              <w:spacing w:after="0" w:line="252" w:lineRule="auto"/>
            </w:pPr>
            <w:r>
              <w:rPr>
                <w:sz w:val="17"/>
              </w:rPr>
              <w:t>The solution will evolve through frequent feedback and usable increments</w:t>
            </w:r>
          </w:p>
        </w:tc>
        <w:tc>
          <w:tcPr>
            <w:tcW w:type="dxa" w:w="4752"/>
            <w:vAlign w:val="center"/>
            <w:shd w:fill="F5F5F3"/>
            <w:tcMar>
              <w:top w:w="110" w:type="dxa"/>
              <w:start w:w="130" w:type="dxa"/>
              <w:bottom w:w="110" w:type="dxa"/>
              <w:end w:w="130" w:type="dxa"/>
            </w:tcMar>
          </w:tcPr>
          <w:p>
            <w:pPr>
              <w:spacing w:after="0" w:line="252" w:lineRule="auto"/>
            </w:pPr>
            <w:r>
              <w:rPr>
                <w:sz w:val="17"/>
              </w:rPr>
              <w:t>Prioritized backlog, short iterations, WIP, review, retrospective and definition of done</w:t>
            </w:r>
          </w:p>
        </w:tc>
      </w:tr>
      <w:tr>
        <w:tc>
          <w:tcPr>
            <w:tcW w:type="dxa" w:w="1440"/>
            <w:vAlign w:val="center"/>
            <w:tcMar>
              <w:top w:w="110" w:type="dxa"/>
              <w:start w:w="130" w:type="dxa"/>
              <w:bottom w:w="110" w:type="dxa"/>
              <w:end w:w="130" w:type="dxa"/>
            </w:tcMar>
          </w:tcPr>
          <w:p>
            <w:pPr>
              <w:spacing w:after="0" w:line="252" w:lineRule="auto"/>
            </w:pPr>
            <w:r>
              <w:rPr>
                <w:sz w:val="17"/>
              </w:rPr>
              <w:t>Hybrid</w:t>
            </w:r>
          </w:p>
        </w:tc>
        <w:tc>
          <w:tcPr>
            <w:tcW w:type="dxa" w:w="4608"/>
            <w:vAlign w:val="center"/>
            <w:tcMar>
              <w:top w:w="110" w:type="dxa"/>
              <w:start w:w="130" w:type="dxa"/>
              <w:bottom w:w="110" w:type="dxa"/>
              <w:end w:w="130" w:type="dxa"/>
            </w:tcMar>
          </w:tcPr>
          <w:p>
            <w:pPr>
              <w:spacing w:after="0" w:line="252" w:lineRule="auto"/>
            </w:pPr>
            <w:r>
              <w:rPr>
                <w:sz w:val="17"/>
              </w:rPr>
              <w:t>Some commitments need formal baselines while parts of the solution require iteration</w:t>
            </w:r>
          </w:p>
        </w:tc>
        <w:tc>
          <w:tcPr>
            <w:tcW w:type="dxa" w:w="4752"/>
            <w:vAlign w:val="center"/>
            <w:tcMar>
              <w:top w:w="110" w:type="dxa"/>
              <w:start w:w="130" w:type="dxa"/>
              <w:bottom w:w="110" w:type="dxa"/>
              <w:end w:w="130" w:type="dxa"/>
            </w:tcMar>
          </w:tcPr>
          <w:p>
            <w:pPr>
              <w:spacing w:after="0" w:line="252" w:lineRule="auto"/>
            </w:pPr>
            <w:r>
              <w:rPr>
                <w:sz w:val="17"/>
              </w:rPr>
              <w:t>Baseline the external commitments and govern iterative delivery within those boundaries</w:t>
            </w:r>
          </w:p>
        </w:tc>
      </w:tr>
    </w:tbl>
    <w:p>
      <w:pPr>
        <w:spacing w:after="20"/>
      </w:pPr>
    </w:p>
    <w:p>
      <w:r>
        <w:br w:type="page"/>
      </w:r>
    </w:p>
    <w:p>
      <w:pPr>
        <w:pStyle w:val="Heading1"/>
        <w:keepNext/>
      </w:pPr>
      <w:r>
        <w:t>Access and workspace setup</w:t>
      </w:r>
    </w:p>
    <w:p>
      <w:pPr>
        <w:pStyle w:val="ListBullet"/>
        <w:spacing w:after="60"/>
        <w:keepLines/>
      </w:pPr>
      <w:r>
        <w:t>Sign in with your verified email address. Complete password recovery or the authenticator challenge when required.</w:t>
      </w:r>
    </w:p>
    <w:p>
      <w:pPr>
        <w:pStyle w:val="ListBullet"/>
        <w:spacing w:after="60"/>
        <w:keepLines/>
      </w:pPr>
      <w:r>
        <w:t>Create a workspace only when you are authorized to establish its data boundary. A workspace separates projects, members, documents and audit events.</w:t>
      </w:r>
    </w:p>
    <w:p>
      <w:pPr>
        <w:pStyle w:val="ListBullet"/>
        <w:spacing w:after="60"/>
        <w:keepLines/>
      </w:pPr>
      <w:r>
        <w:t>Open Team and Access to confirm roles. Owners and admins control high-authority decisions. Project managers maintain project records. Members have limited access in the current release.</w:t>
      </w:r>
    </w:p>
    <w:p>
      <w:pPr>
        <w:pStyle w:val="ListBullet"/>
        <w:spacing w:after="60"/>
        <w:keepLines/>
      </w:pPr>
      <w:r>
        <w:t>Use the account security panel to enroll an authenticator and review sessions. Never share credentials or one-time access links.</w:t>
      </w:r>
    </w:p>
    <w:p>
      <w:pPr>
        <w:pStyle w:val="Heading1"/>
        <w:keepNext/>
      </w:pPr>
      <w:r>
        <w:t>Create the project</w:t>
      </w:r>
    </w:p>
    <w:p>
      <w:pPr>
        <w:keepLines/>
      </w:pPr>
      <w:r>
        <w:t>Select New project and complete the six setup steps. Use stable names and codes because they appear in records and exported filenames. Write the problem as the present condition, and write the expected outcome as the measurable future condition.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shd w:fill="17324D"/>
            <w:vAlign w:val="center"/>
            <w:tcMar>
              <w:top w:w="110" w:type="dxa"/>
              <w:start w:w="130" w:type="dxa"/>
              <w:bottom w:w="110" w:type="dxa"/>
              <w:end w:w="130" w:type="dxa"/>
            </w:tcMar>
          </w:tcPr>
          <w:p>
            <w:r>
              <w:rPr>
                <w:b/>
                <w:color w:val="FFFFFF"/>
                <w:sz w:val="18"/>
              </w:rPr>
              <w:t>Setup step</w:t>
            </w:r>
          </w:p>
        </w:tc>
        <w:tc>
          <w:tcPr>
            <w:tcW w:type="dxa" w:w="5400"/>
            <w:shd w:fill="17324D"/>
            <w:vAlign w:val="center"/>
            <w:tcMar>
              <w:top w:w="110" w:type="dxa"/>
              <w:start w:w="130" w:type="dxa"/>
              <w:bottom w:w="110" w:type="dxa"/>
              <w:end w:w="130" w:type="dxa"/>
            </w:tcMar>
          </w:tcPr>
          <w:p>
            <w:r>
              <w:rPr>
                <w:b/>
                <w:color w:val="FFFFFF"/>
                <w:sz w:val="18"/>
              </w:rPr>
              <w:t>What to enter</w:t>
            </w:r>
          </w:p>
        </w:tc>
        <w:tc>
          <w:tcPr>
            <w:tcW w:type="dxa" w:w="3744"/>
            <w:shd w:fill="17324D"/>
            <w:vAlign w:val="center"/>
            <w:tcMar>
              <w:top w:w="110" w:type="dxa"/>
              <w:start w:w="130" w:type="dxa"/>
              <w:bottom w:w="110" w:type="dxa"/>
              <w:end w:w="130" w:type="dxa"/>
            </w:tcMar>
          </w:tcPr>
          <w:p>
            <w:r>
              <w:rPr>
                <w:b/>
                <w:color w:val="FFFFFF"/>
                <w:sz w:val="18"/>
              </w:rPr>
              <w:t>Quality check</w:t>
            </w:r>
          </w:p>
        </w:tc>
      </w:tr>
      <w:tr>
        <w:tc>
          <w:tcPr>
            <w:tcW w:type="dxa" w:w="1656"/>
            <w:vAlign w:val="center"/>
            <w:tcMar>
              <w:top w:w="110" w:type="dxa"/>
              <w:start w:w="130" w:type="dxa"/>
              <w:bottom w:w="110" w:type="dxa"/>
              <w:end w:w="130" w:type="dxa"/>
            </w:tcMar>
          </w:tcPr>
          <w:p>
            <w:pPr>
              <w:spacing w:after="0" w:line="252" w:lineRule="auto"/>
            </w:pPr>
            <w:r>
              <w:rPr>
                <w:sz w:val="17"/>
              </w:rPr>
              <w:t>Identity</w:t>
            </w:r>
          </w:p>
        </w:tc>
        <w:tc>
          <w:tcPr>
            <w:tcW w:type="dxa" w:w="5400"/>
            <w:vAlign w:val="center"/>
            <w:tcMar>
              <w:top w:w="110" w:type="dxa"/>
              <w:start w:w="130" w:type="dxa"/>
              <w:bottom w:w="110" w:type="dxa"/>
              <w:end w:w="130" w:type="dxa"/>
            </w:tcMar>
          </w:tcPr>
          <w:p>
            <w:pPr>
              <w:spacing w:after="0" w:line="252" w:lineRule="auto"/>
            </w:pPr>
            <w:r>
              <w:rPr>
                <w:sz w:val="17"/>
              </w:rPr>
              <w:t>Title, short code, description, industry, delivery approach, region, timezone, currency and confidentiality</w:t>
            </w:r>
          </w:p>
        </w:tc>
        <w:tc>
          <w:tcPr>
            <w:tcW w:type="dxa" w:w="3744"/>
            <w:vAlign w:val="center"/>
            <w:tcMar>
              <w:top w:w="110" w:type="dxa"/>
              <w:start w:w="130" w:type="dxa"/>
              <w:bottom w:w="110" w:type="dxa"/>
              <w:end w:w="130" w:type="dxa"/>
            </w:tcMar>
          </w:tcPr>
          <w:p>
            <w:pPr>
              <w:spacing w:after="0" w:line="252" w:lineRule="auto"/>
            </w:pPr>
            <w:r>
              <w:rPr>
                <w:sz w:val="17"/>
              </w:rPr>
              <w:t>A reader can distinguish the project from a department or recurring service</w:t>
            </w:r>
          </w:p>
        </w:tc>
      </w:tr>
      <w:tr>
        <w:tc>
          <w:tcPr>
            <w:tcW w:type="dxa" w:w="1656"/>
            <w:vAlign w:val="center"/>
            <w:shd w:fill="F5F5F3"/>
            <w:tcMar>
              <w:top w:w="110" w:type="dxa"/>
              <w:start w:w="130" w:type="dxa"/>
              <w:bottom w:w="110" w:type="dxa"/>
              <w:end w:w="130" w:type="dxa"/>
            </w:tcMar>
          </w:tcPr>
          <w:p>
            <w:pPr>
              <w:spacing w:after="0" w:line="252" w:lineRule="auto"/>
            </w:pPr>
            <w:r>
              <w:rPr>
                <w:sz w:val="17"/>
              </w:rPr>
              <w:t>Strategic context</w:t>
            </w:r>
          </w:p>
        </w:tc>
        <w:tc>
          <w:tcPr>
            <w:tcW w:type="dxa" w:w="5400"/>
            <w:vAlign w:val="center"/>
            <w:shd w:fill="F5F5F3"/>
            <w:tcMar>
              <w:top w:w="110" w:type="dxa"/>
              <w:start w:w="130" w:type="dxa"/>
              <w:bottom w:w="110" w:type="dxa"/>
              <w:end w:w="130" w:type="dxa"/>
            </w:tcMar>
          </w:tcPr>
          <w:p>
            <w:pPr>
              <w:spacing w:after="0" w:line="252" w:lineRule="auto"/>
            </w:pPr>
            <w:r>
              <w:rPr>
                <w:sz w:val="17"/>
              </w:rPr>
              <w:t>Problem, outcome, objectives, success criteria, benefits and mandatory drivers</w:t>
            </w:r>
          </w:p>
        </w:tc>
        <w:tc>
          <w:tcPr>
            <w:tcW w:type="dxa" w:w="3744"/>
            <w:vAlign w:val="center"/>
            <w:shd w:fill="F5F5F3"/>
            <w:tcMar>
              <w:top w:w="110" w:type="dxa"/>
              <w:start w:w="130" w:type="dxa"/>
              <w:bottom w:w="110" w:type="dxa"/>
              <w:end w:w="130" w:type="dxa"/>
            </w:tcMar>
          </w:tcPr>
          <w:p>
            <w:pPr>
              <w:spacing w:after="0" w:line="252" w:lineRule="auto"/>
            </w:pPr>
            <w:r>
              <w:rPr>
                <w:sz w:val="17"/>
              </w:rPr>
              <w:t>Criteria are measurable and linked to the business need</w:t>
            </w:r>
          </w:p>
        </w:tc>
      </w:tr>
      <w:tr>
        <w:tc>
          <w:tcPr>
            <w:tcW w:type="dxa" w:w="1656"/>
            <w:vAlign w:val="center"/>
            <w:tcMar>
              <w:top w:w="110" w:type="dxa"/>
              <w:start w:w="130" w:type="dxa"/>
              <w:bottom w:w="110" w:type="dxa"/>
              <w:end w:w="130" w:type="dxa"/>
            </w:tcMar>
          </w:tcPr>
          <w:p>
            <w:pPr>
              <w:spacing w:after="0" w:line="252" w:lineRule="auto"/>
            </w:pPr>
            <w:r>
              <w:rPr>
                <w:sz w:val="17"/>
              </w:rPr>
              <w:t>Delivery setup</w:t>
            </w:r>
          </w:p>
        </w:tc>
        <w:tc>
          <w:tcPr>
            <w:tcW w:type="dxa" w:w="5400"/>
            <w:vAlign w:val="center"/>
            <w:tcMar>
              <w:top w:w="110" w:type="dxa"/>
              <w:start w:w="130" w:type="dxa"/>
              <w:bottom w:w="110" w:type="dxa"/>
              <w:end w:w="130" w:type="dxa"/>
            </w:tcMar>
          </w:tcPr>
          <w:p>
            <w:pPr>
              <w:spacing w:after="0" w:line="252" w:lineRule="auto"/>
            </w:pPr>
            <w:r>
              <w:rPr>
                <w:sz w:val="17"/>
              </w:rPr>
              <w:t>Start, finish, complexity, priority, governance model and reporting frequency</w:t>
            </w:r>
          </w:p>
        </w:tc>
        <w:tc>
          <w:tcPr>
            <w:tcW w:type="dxa" w:w="3744"/>
            <w:vAlign w:val="center"/>
            <w:tcMar>
              <w:top w:w="110" w:type="dxa"/>
              <w:start w:w="130" w:type="dxa"/>
              <w:bottom w:w="110" w:type="dxa"/>
              <w:end w:w="130" w:type="dxa"/>
            </w:tcMar>
          </w:tcPr>
          <w:p>
            <w:pPr>
              <w:spacing w:after="0" w:line="252" w:lineRule="auto"/>
            </w:pPr>
            <w:r>
              <w:rPr>
                <w:sz w:val="17"/>
              </w:rPr>
              <w:t>Dates and governance reflect risk and decision speed</w:t>
            </w:r>
          </w:p>
        </w:tc>
      </w:tr>
      <w:tr>
        <w:tc>
          <w:tcPr>
            <w:tcW w:type="dxa" w:w="1656"/>
            <w:vAlign w:val="center"/>
            <w:shd w:fill="F5F5F3"/>
            <w:tcMar>
              <w:top w:w="110" w:type="dxa"/>
              <w:start w:w="130" w:type="dxa"/>
              <w:bottom w:w="110" w:type="dxa"/>
              <w:end w:w="130" w:type="dxa"/>
            </w:tcMar>
          </w:tcPr>
          <w:p>
            <w:pPr>
              <w:spacing w:after="0" w:line="252" w:lineRule="auto"/>
            </w:pPr>
            <w:r>
              <w:rPr>
                <w:sz w:val="17"/>
              </w:rPr>
              <w:t>Team</w:t>
            </w:r>
          </w:p>
        </w:tc>
        <w:tc>
          <w:tcPr>
            <w:tcW w:type="dxa" w:w="5400"/>
            <w:vAlign w:val="center"/>
            <w:shd w:fill="F5F5F3"/>
            <w:tcMar>
              <w:top w:w="110" w:type="dxa"/>
              <w:start w:w="130" w:type="dxa"/>
              <w:bottom w:w="110" w:type="dxa"/>
              <w:end w:w="130" w:type="dxa"/>
            </w:tcMar>
          </w:tcPr>
          <w:p>
            <w:pPr>
              <w:spacing w:after="0" w:line="252" w:lineRule="auto"/>
            </w:pPr>
            <w:r>
              <w:rPr>
                <w:sz w:val="17"/>
              </w:rPr>
              <w:t>Sponsor, project manager, core team and approval roles</w:t>
            </w:r>
          </w:p>
        </w:tc>
        <w:tc>
          <w:tcPr>
            <w:tcW w:type="dxa" w:w="3744"/>
            <w:vAlign w:val="center"/>
            <w:shd w:fill="F5F5F3"/>
            <w:tcMar>
              <w:top w:w="110" w:type="dxa"/>
              <w:start w:w="130" w:type="dxa"/>
              <w:bottom w:w="110" w:type="dxa"/>
              <w:end w:w="130" w:type="dxa"/>
            </w:tcMar>
          </w:tcPr>
          <w:p>
            <w:pPr>
              <w:spacing w:after="0" w:line="252" w:lineRule="auto"/>
            </w:pPr>
            <w:r>
              <w:rPr>
                <w:sz w:val="17"/>
              </w:rPr>
              <w:t>Every key decision has an accountable role</w:t>
            </w:r>
          </w:p>
        </w:tc>
      </w:tr>
      <w:tr>
        <w:tc>
          <w:tcPr>
            <w:tcW w:type="dxa" w:w="1656"/>
            <w:vAlign w:val="center"/>
            <w:tcMar>
              <w:top w:w="110" w:type="dxa"/>
              <w:start w:w="130" w:type="dxa"/>
              <w:bottom w:w="110" w:type="dxa"/>
              <w:end w:w="130" w:type="dxa"/>
            </w:tcMar>
          </w:tcPr>
          <w:p>
            <w:pPr>
              <w:spacing w:after="0" w:line="252" w:lineRule="auto"/>
            </w:pPr>
            <w:r>
              <w:rPr>
                <w:sz w:val="17"/>
              </w:rPr>
              <w:t>Template</w:t>
            </w:r>
          </w:p>
        </w:tc>
        <w:tc>
          <w:tcPr>
            <w:tcW w:type="dxa" w:w="5400"/>
            <w:vAlign w:val="center"/>
            <w:tcMar>
              <w:top w:w="110" w:type="dxa"/>
              <w:start w:w="130" w:type="dxa"/>
              <w:bottom w:w="110" w:type="dxa"/>
              <w:end w:w="130" w:type="dxa"/>
            </w:tcMar>
          </w:tcPr>
          <w:p>
            <w:pPr>
              <w:spacing w:after="0" w:line="252" w:lineRule="auto"/>
            </w:pPr>
            <w:r>
              <w:rPr>
                <w:sz w:val="17"/>
              </w:rPr>
              <w:t>Construction, predictive, agile, hybrid, development or blank</w:t>
            </w:r>
          </w:p>
        </w:tc>
        <w:tc>
          <w:tcPr>
            <w:tcW w:type="dxa" w:w="3744"/>
            <w:vAlign w:val="center"/>
            <w:tcMar>
              <w:top w:w="110" w:type="dxa"/>
              <w:start w:w="130" w:type="dxa"/>
              <w:bottom w:w="110" w:type="dxa"/>
              <w:end w:w="130" w:type="dxa"/>
            </w:tcMar>
          </w:tcPr>
          <w:p>
            <w:pPr>
              <w:spacing w:after="0" w:line="252" w:lineRule="auto"/>
            </w:pPr>
            <w:r>
              <w:rPr>
                <w:sz w:val="17"/>
              </w:rPr>
              <w:t>The template matches the work and will not overwrite future project data</w:t>
            </w:r>
          </w:p>
        </w:tc>
      </w:tr>
      <w:tr>
        <w:tc>
          <w:tcPr>
            <w:tcW w:type="dxa" w:w="1656"/>
            <w:vAlign w:val="center"/>
            <w:shd w:fill="F5F5F3"/>
            <w:tcMar>
              <w:top w:w="110" w:type="dxa"/>
              <w:start w:w="130" w:type="dxa"/>
              <w:bottom w:w="110" w:type="dxa"/>
              <w:end w:w="130" w:type="dxa"/>
            </w:tcMar>
          </w:tcPr>
          <w:p>
            <w:pPr>
              <w:spacing w:after="0" w:line="252" w:lineRule="auto"/>
            </w:pPr>
            <w:r>
              <w:rPr>
                <w:sz w:val="17"/>
              </w:rPr>
              <w:t>Review</w:t>
            </w:r>
          </w:p>
        </w:tc>
        <w:tc>
          <w:tcPr>
            <w:tcW w:type="dxa" w:w="5400"/>
            <w:vAlign w:val="center"/>
            <w:shd w:fill="F5F5F3"/>
            <w:tcMar>
              <w:top w:w="110" w:type="dxa"/>
              <w:start w:w="130" w:type="dxa"/>
              <w:bottom w:w="110" w:type="dxa"/>
              <w:end w:w="130" w:type="dxa"/>
            </w:tcMar>
          </w:tcPr>
          <w:p>
            <w:pPr>
              <w:spacing w:after="0" w:line="252" w:lineRule="auto"/>
            </w:pPr>
            <w:r>
              <w:rPr>
                <w:sz w:val="17"/>
              </w:rPr>
              <w:t>Confirm all setup information</w:t>
            </w:r>
          </w:p>
        </w:tc>
        <w:tc>
          <w:tcPr>
            <w:tcW w:type="dxa" w:w="3744"/>
            <w:vAlign w:val="center"/>
            <w:shd w:fill="F5F5F3"/>
            <w:tcMar>
              <w:top w:w="110" w:type="dxa"/>
              <w:start w:w="130" w:type="dxa"/>
              <w:bottom w:w="110" w:type="dxa"/>
              <w:end w:w="130" w:type="dxa"/>
            </w:tcMar>
          </w:tcPr>
          <w:p>
            <w:pPr>
              <w:spacing w:after="0" w:line="252" w:lineRule="auto"/>
            </w:pPr>
            <w:r>
              <w:rPr>
                <w:sz w:val="17"/>
              </w:rPr>
              <w:t>Dates are logical and no placeholder text remains</w:t>
            </w:r>
          </w:p>
        </w:tc>
      </w:tr>
    </w:tbl>
    <w:p>
      <w:pPr>
        <w:spacing w:after="20"/>
      </w:pPr>
    </w:p>
    <w:p>
      <w:pPr>
        <w:keepLines/>
      </w:pPr>
      <w:r>
        <w:t>After creation, use the Overview readiness checklist as a guide, not as proof that the project is healthy. A high readiness score means that expected records exist. It does not mean the assumptions are correct or delivery is on track.</w:t>
      </w:r>
    </w:p>
    <w:p>
      <w:pPr>
        <w:pStyle w:val="Heading1"/>
        <w:keepNext/>
      </w:pPr>
      <w:r>
        <w:t>Develop and govern the business case</w:t>
      </w:r>
    </w:p>
    <w:p>
      <w:pPr>
        <w:pStyle w:val="ListBullet"/>
        <w:spacing w:after="60"/>
        <w:keepLines/>
      </w:pPr>
      <w:r>
        <w:t>Describe the context, problem or opportunity, strategic alignment, intended outcomes, funding assumptions, risks, dependencies, constraints and sustainability implications.</w:t>
      </w:r>
    </w:p>
    <w:p>
      <w:pPr>
        <w:pStyle w:val="ListBullet"/>
        <w:spacing w:after="60"/>
        <w:keepLines/>
      </w:pPr>
      <w:r>
        <w:t>Add at least two genuine options. Include a do-minimum or defer option where appropriate. Score each option using the visible weighted criteria and explain the recommendation.</w:t>
      </w:r>
    </w:p>
    <w:p>
      <w:pPr>
        <w:pStyle w:val="ListBullet"/>
        <w:spacing w:after="60"/>
        <w:keepLines/>
      </w:pPr>
      <w:r>
        <w:t>Enter estimated costs, benefits, discount rate and period cash flows carefully. ROI, NPV and payback are calculations based on your assumptions; they do not validate those assumptions.</w:t>
      </w:r>
    </w:p>
    <w:p>
      <w:pPr>
        <w:pStyle w:val="ListBullet"/>
        <w:spacing w:after="60"/>
        <w:keepLines/>
      </w:pPr>
      <w:r>
        <w:t>Save the draft, review it with finance and subject specialists, then submit it. The submitted version locks while an owner or admin decides.</w:t>
      </w:r>
    </w:p>
    <w:p>
      <w:pPr>
        <w:pStyle w:val="ListBullet"/>
        <w:spacing w:after="60"/>
        <w:keepLines/>
      </w:pPr>
      <w:r>
        <w:t>If changes are requested, address the comments and resubmit. Once approved, create a revision rather than editing the approved version in place.</w:t>
      </w:r>
    </w:p>
    <w:p>
      <w:pPr>
        <w:pStyle w:val="Heading1"/>
        <w:keepNext/>
      </w:pPr>
      <w:r>
        <w:t>Create and approve the charter</w:t>
      </w:r>
    </w:p>
    <w:p>
      <w:pPr>
        <w:keepLines/>
      </w:pPr>
      <w:r>
        <w:t>The charter converts an approved idea into an authorized project. Keep it concise enough for the sponsor to understand while including the boundaries needed for control.</w:t>
      </w:r>
    </w:p>
    <w:p>
      <w:pPr>
        <w:pStyle w:val="ListBullet"/>
        <w:spacing w:after="60"/>
        <w:keepLines/>
      </w:pPr>
      <w:r>
        <w:t>State purpose, measurable objectives and success criteria.</w:t>
      </w:r>
    </w:p>
    <w:p>
      <w:pPr>
        <w:pStyle w:val="ListBullet"/>
        <w:spacing w:after="60"/>
        <w:keepLines/>
      </w:pPr>
      <w:r>
        <w:t>Define high-level scope, requirements, deliverables, exclusions, assumptions and constraints.</w:t>
      </w:r>
    </w:p>
    <w:p>
      <w:pPr>
        <w:pStyle w:val="ListBullet"/>
        <w:spacing w:after="60"/>
        <w:keepLines/>
      </w:pPr>
      <w:r>
        <w:t>Record key milestones, budget, risks and stakeholders.</w:t>
      </w:r>
    </w:p>
    <w:p>
      <w:pPr>
        <w:pStyle w:val="ListBullet"/>
        <w:spacing w:after="60"/>
        <w:keepLines/>
      </w:pPr>
      <w:r>
        <w:t>Define the project manager's authority, approval requirements and exit criteria.</w:t>
      </w:r>
    </w:p>
    <w:p>
      <w:pPr>
        <w:pStyle w:val="ListBullet"/>
        <w:spacing w:after="60"/>
        <w:keepLines/>
      </w:pPr>
      <w:r>
        <w:t>Submit the charter only when sponsor, scope, authority and success criteria are clear.</w:t>
      </w:r>
    </w:p>
    <w:p>
      <w:pPr>
        <w:pStyle w:val="Heading1"/>
        <w:keepNext/>
      </w:pPr>
      <w:r>
        <w:t>Plan scope requirements and the WBS</w:t>
      </w:r>
    </w:p>
    <w:p>
      <w:pPr>
        <w:keepLines/>
      </w:pPr>
      <w:r>
        <w:t>Planning should make the complete authorized work visible. Begin with outcomes and acceptance, then decompose the work. Do not begin by typing a long task list with no link to requirements or deliverables.</w:t>
      </w:r>
    </w:p>
    <w:p>
      <w:pPr>
        <w:pStyle w:val="ListBullet"/>
        <w:spacing w:after="60"/>
        <w:keepLines/>
      </w:pPr>
      <w:r>
        <w:t>Write the project scope, product scope, deliverables, inclusions, exclusions, acceptance criteria, assumptions, constraints, boundaries and interfaces.</w:t>
      </w:r>
    </w:p>
    <w:p>
      <w:pPr>
        <w:pStyle w:val="ListBullet"/>
        <w:spacing w:after="60"/>
        <w:keepLines/>
      </w:pPr>
      <w:r>
        <w:t>Complete the master plan and the subsidiary plans that are proportionate to the project. Record methods, roles, thresholds, reporting, escalation and approvals.</w:t>
      </w:r>
    </w:p>
    <w:p>
      <w:pPr>
        <w:pStyle w:val="ListBullet"/>
        <w:spacing w:after="60"/>
        <w:keepLines/>
      </w:pPr>
      <w:r>
        <w:t>Create requirements with a source, owner, priority, acceptance criteria and verification method. Trace each requirement to an objective, benefit, deliverable, WBS item, activity and evidence where applicable.</w:t>
      </w:r>
    </w:p>
    <w:p>
      <w:pPr>
        <w:pStyle w:val="ListBullet"/>
        <w:spacing w:after="60"/>
        <w:keepLines/>
      </w:pPr>
      <w:r>
        <w:t>Build the WBS around deliverables. Decompose until a work package can be estimated, assigned and accepted. Use the dictionary to explain scope, exclusions, assumptions, resources, quality criteria, dependencies and acceptance.</w:t>
      </w:r>
    </w:p>
    <w:p>
      <w:pPr>
        <w:pStyle w:val="ListBullet"/>
        <w:spacing w:after="60"/>
        <w:keepLines/>
      </w:pPr>
      <w:r>
        <w:t>Resolve orphan requirements and ambiguous work packages before requesting the scope baseline.</w:t>
      </w:r>
    </w:p>
    <w:p>
      <w:pPr>
        <w:pStyle w:val="ListBullet"/>
        <w:spacing w:after="60"/>
        <w:keepLines/>
      </w:pPr>
      <w:r>
        <w:t>An owner or admin approves the baseline. Later changes must cite an authorized change request before a revision begins.</w:t>
      </w:r>
    </w:p>
    <w:p>
      <w:pPr>
        <w:pStyle w:val="Heading1"/>
        <w:keepNext/>
      </w:pPr>
      <w:r>
        <w:t>Build and control the schedule</w:t>
      </w:r>
    </w:p>
    <w:p>
      <w:pPr>
        <w:keepLines/>
      </w:pPr>
      <w:r>
        <w:t>Convert WBS work packages into activities. Define dependencies based on how work must flow, not on the order in which rows were entered.</w:t>
      </w:r>
    </w:p>
    <w:p>
      <w:pPr>
        <w:pStyle w:val="ListBullet"/>
        <w:spacing w:after="60"/>
        <w:keepLines/>
      </w:pPr>
      <w:r>
        <w:t>Assign a unique activity ID, WBS link, name, duration, owner and calendar. Mark true milestones with zero duration.</w:t>
      </w:r>
    </w:p>
    <w:p>
      <w:pPr>
        <w:pStyle w:val="ListBullet"/>
        <w:spacing w:after="60"/>
        <w:keepLines/>
      </w:pPr>
      <w:r>
        <w:t>Use FS when a successor starts after its predecessor finishes; SS when starts are linked; FF when finishes are linked; and SF only when the unusual relationship is genuinely required.</w:t>
      </w:r>
    </w:p>
    <w:p>
      <w:pPr>
        <w:pStyle w:val="ListBullet"/>
        <w:spacing w:after="60"/>
        <w:keepLines/>
      </w:pPr>
      <w:r>
        <w:t>Use lead or lag sparingly and explain it. Hidden waiting time makes a schedule difficult to defend.</w:t>
      </w:r>
    </w:p>
    <w:p>
      <w:pPr>
        <w:pStyle w:val="ListBullet"/>
        <w:spacing w:after="60"/>
        <w:keepLines/>
      </w:pPr>
      <w:r>
        <w:t>Review critical activities and float. A critical activity has no scheduling flexibility under the current network assumptions.</w:t>
      </w:r>
    </w:p>
    <w:p>
      <w:pPr>
        <w:pStyle w:val="ListBullet"/>
        <w:spacing w:after="60"/>
        <w:keepLines/>
      </w:pPr>
      <w:r>
        <w:t>During delivery, record actual starts, actual finishes, remaining duration and percent complete. Forecast from remaining work rather than preserving obsolete dates.</w:t>
      </w:r>
    </w:p>
    <w:p>
      <w:pPr>
        <w:pStyle w:val="ListBullet"/>
        <w:spacing w:after="60"/>
        <w:keepLines/>
      </w:pPr>
      <w:r>
        <w:t>Baseline only after scope, logic, resources and dates have been reviewed. Use a change-linked revision when an approved commitment changes.</w:t>
      </w:r>
    </w:p>
    <w:p>
      <w:pPr>
        <w:pStyle w:val="Heading1"/>
        <w:keepNext/>
      </w:pPr>
      <w:r>
        <w:t>Build and control the budget</w:t>
      </w:r>
    </w:p>
    <w:p>
      <w:pPr>
        <w:pStyle w:val="ListBullet"/>
        <w:spacing w:after="60"/>
        <w:keepLines/>
      </w:pPr>
      <w:r>
        <w:t>Set the budget at completion and distinguish contingency reserve from management reserve.</w:t>
      </w:r>
    </w:p>
    <w:p>
      <w:pPr>
        <w:pStyle w:val="ListBullet"/>
        <w:spacing w:after="60"/>
        <w:keepLines/>
      </w:pPr>
      <w:r>
        <w:t>Create cost records with cost account, WBS/activity link, type, classification, vendor, amount, tax, due date and invoice status.</w:t>
      </w:r>
    </w:p>
    <w:p>
      <w:pPr>
        <w:pStyle w:val="ListBullet"/>
        <w:spacing w:after="60"/>
        <w:keepLines/>
      </w:pPr>
      <w:r>
        <w:t>Maintain cash-flow periods and distinguish planned value, earned value and actual cost.</w:t>
      </w:r>
    </w:p>
    <w:p>
      <w:pPr>
        <w:pStyle w:val="ListBullet"/>
        <w:spacing w:after="60"/>
        <w:keepLines/>
      </w:pPr>
      <w:r>
        <w:t>Interpret CPI below 1 as cost inefficiency and SPI below 1 as less value completed than planned. Check the underlying data before escalating a ratio.</w:t>
      </w:r>
    </w:p>
    <w:p>
      <w:pPr>
        <w:pStyle w:val="ListBullet"/>
        <w:spacing w:after="60"/>
        <w:keepLines/>
      </w:pPr>
      <w:r>
        <w:t>Review EAC, ETC, VAC and TCPI. Explain which forecast assumption applies and do not use a single formula mechanically when future performance will differ from the past.</w:t>
      </w:r>
    </w:p>
    <w:p>
      <w:pPr>
        <w:pStyle w:val="ListBullet"/>
        <w:spacing w:after="60"/>
        <w:keepLines/>
      </w:pPr>
      <w:r>
        <w:t>Approve the cost baseline only after scope, estimates, reserves, funding and timing are consistent.</w:t>
      </w:r>
    </w:p>
    <w:p>
      <w:pPr>
        <w:pStyle w:val="Heading1"/>
        <w:keepNext/>
      </w:pPr>
      <w:r>
        <w:t>Manage risks issues stakeholders and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440"/>
            <w:shd w:fill="17324D"/>
            <w:vAlign w:val="center"/>
            <w:tcMar>
              <w:top w:w="110" w:type="dxa"/>
              <w:start w:w="130" w:type="dxa"/>
              <w:bottom w:w="110" w:type="dxa"/>
              <w:end w:w="130" w:type="dxa"/>
            </w:tcMar>
          </w:tcPr>
          <w:p>
            <w:r>
              <w:rPr>
                <w:b/>
                <w:color w:val="FFFFFF"/>
                <w:sz w:val="18"/>
              </w:rPr>
              <w:t>Control</w:t>
            </w:r>
          </w:p>
        </w:tc>
        <w:tc>
          <w:tcPr>
            <w:tcW w:type="dxa" w:w="6120"/>
            <w:shd w:fill="17324D"/>
            <w:vAlign w:val="center"/>
            <w:tcMar>
              <w:top w:w="110" w:type="dxa"/>
              <w:start w:w="130" w:type="dxa"/>
              <w:bottom w:w="110" w:type="dxa"/>
              <w:end w:w="130" w:type="dxa"/>
            </w:tcMar>
          </w:tcPr>
          <w:p>
            <w:r>
              <w:rPr>
                <w:b/>
                <w:color w:val="FFFFFF"/>
                <w:sz w:val="18"/>
              </w:rPr>
              <w:t>Minimum management action</w:t>
            </w:r>
          </w:p>
        </w:tc>
        <w:tc>
          <w:tcPr>
            <w:tcW w:type="dxa" w:w="3240"/>
            <w:shd w:fill="17324D"/>
            <w:vAlign w:val="center"/>
            <w:tcMar>
              <w:top w:w="110" w:type="dxa"/>
              <w:start w:w="130" w:type="dxa"/>
              <w:bottom w:w="110" w:type="dxa"/>
              <w:end w:w="130" w:type="dxa"/>
            </w:tcMar>
          </w:tcPr>
          <w:p>
            <w:r>
              <w:rPr>
                <w:b/>
                <w:color w:val="FFFFFF"/>
                <w:sz w:val="18"/>
              </w:rPr>
              <w:t>Escalate when</w:t>
            </w:r>
          </w:p>
        </w:tc>
      </w:tr>
      <w:tr>
        <w:tc>
          <w:tcPr>
            <w:tcW w:type="dxa" w:w="1440"/>
            <w:vAlign w:val="center"/>
            <w:tcMar>
              <w:top w:w="110" w:type="dxa"/>
              <w:start w:w="130" w:type="dxa"/>
              <w:bottom w:w="110" w:type="dxa"/>
              <w:end w:w="130" w:type="dxa"/>
            </w:tcMar>
          </w:tcPr>
          <w:p>
            <w:pPr>
              <w:spacing w:after="0" w:line="252" w:lineRule="auto"/>
            </w:pPr>
            <w:r>
              <w:rPr>
                <w:sz w:val="17"/>
              </w:rPr>
              <w:t>Risk</w:t>
            </w:r>
          </w:p>
        </w:tc>
        <w:tc>
          <w:tcPr>
            <w:tcW w:type="dxa" w:w="6120"/>
            <w:vAlign w:val="center"/>
            <w:tcMar>
              <w:top w:w="110" w:type="dxa"/>
              <w:start w:w="130" w:type="dxa"/>
              <w:bottom w:w="110" w:type="dxa"/>
              <w:end w:w="130" w:type="dxa"/>
            </w:tcMar>
          </w:tcPr>
          <w:p>
            <w:pPr>
              <w:spacing w:after="0" w:line="252" w:lineRule="auto"/>
            </w:pPr>
            <w:r>
              <w:rPr>
                <w:sz w:val="17"/>
              </w:rPr>
              <w:t>State cause, uncertain event, impact, probability, impact score, owner, response, trigger and due date</w:t>
            </w:r>
          </w:p>
        </w:tc>
        <w:tc>
          <w:tcPr>
            <w:tcW w:type="dxa" w:w="3240"/>
            <w:vAlign w:val="center"/>
            <w:tcMar>
              <w:top w:w="110" w:type="dxa"/>
              <w:start w:w="130" w:type="dxa"/>
              <w:bottom w:w="110" w:type="dxa"/>
              <w:end w:w="130" w:type="dxa"/>
            </w:tcMar>
          </w:tcPr>
          <w:p>
            <w:pPr>
              <w:spacing w:after="0" w:line="252" w:lineRule="auto"/>
            </w:pPr>
            <w:r>
              <w:rPr>
                <w:sz w:val="17"/>
              </w:rPr>
              <w:t>Exposure, proximity or response delay exceeds the agreed threshold</w:t>
            </w:r>
          </w:p>
        </w:tc>
      </w:tr>
      <w:tr>
        <w:tc>
          <w:tcPr>
            <w:tcW w:type="dxa" w:w="1440"/>
            <w:vAlign w:val="center"/>
            <w:shd w:fill="F5F5F3"/>
            <w:tcMar>
              <w:top w:w="110" w:type="dxa"/>
              <w:start w:w="130" w:type="dxa"/>
              <w:bottom w:w="110" w:type="dxa"/>
              <w:end w:w="130" w:type="dxa"/>
            </w:tcMar>
          </w:tcPr>
          <w:p>
            <w:pPr>
              <w:spacing w:after="0" w:line="252" w:lineRule="auto"/>
            </w:pPr>
            <w:r>
              <w:rPr>
                <w:sz w:val="17"/>
              </w:rPr>
              <w:t>Issue</w:t>
            </w:r>
          </w:p>
        </w:tc>
        <w:tc>
          <w:tcPr>
            <w:tcW w:type="dxa" w:w="6120"/>
            <w:vAlign w:val="center"/>
            <w:shd w:fill="F5F5F3"/>
            <w:tcMar>
              <w:top w:w="110" w:type="dxa"/>
              <w:start w:w="130" w:type="dxa"/>
              <w:bottom w:w="110" w:type="dxa"/>
              <w:end w:w="130" w:type="dxa"/>
            </w:tcMar>
          </w:tcPr>
          <w:p>
            <w:pPr>
              <w:spacing w:after="0" w:line="252" w:lineRule="auto"/>
            </w:pPr>
            <w:r>
              <w:rPr>
                <w:sz w:val="17"/>
              </w:rPr>
              <w:t>Record the current problem, owner, severity, priority, due date, root cause and resolution</w:t>
            </w:r>
          </w:p>
        </w:tc>
        <w:tc>
          <w:tcPr>
            <w:tcW w:type="dxa" w:w="3240"/>
            <w:vAlign w:val="center"/>
            <w:shd w:fill="F5F5F3"/>
            <w:tcMar>
              <w:top w:w="110" w:type="dxa"/>
              <w:start w:w="130" w:type="dxa"/>
              <w:bottom w:w="110" w:type="dxa"/>
              <w:end w:w="130" w:type="dxa"/>
            </w:tcMar>
          </w:tcPr>
          <w:p>
            <w:pPr>
              <w:spacing w:after="0" w:line="252" w:lineRule="auto"/>
            </w:pPr>
            <w:r>
              <w:rPr>
                <w:sz w:val="17"/>
              </w:rPr>
              <w:t>The owner cannot resolve it within authority or tolerance</w:t>
            </w:r>
          </w:p>
        </w:tc>
      </w:tr>
      <w:tr>
        <w:tc>
          <w:tcPr>
            <w:tcW w:type="dxa" w:w="1440"/>
            <w:vAlign w:val="center"/>
            <w:tcMar>
              <w:top w:w="110" w:type="dxa"/>
              <w:start w:w="130" w:type="dxa"/>
              <w:bottom w:w="110" w:type="dxa"/>
              <w:end w:w="130" w:type="dxa"/>
            </w:tcMar>
          </w:tcPr>
          <w:p>
            <w:pPr>
              <w:spacing w:after="0" w:line="252" w:lineRule="auto"/>
            </w:pPr>
            <w:r>
              <w:rPr>
                <w:sz w:val="17"/>
              </w:rPr>
              <w:t>Stakeholder</w:t>
            </w:r>
          </w:p>
        </w:tc>
        <w:tc>
          <w:tcPr>
            <w:tcW w:type="dxa" w:w="6120"/>
            <w:vAlign w:val="center"/>
            <w:tcMar>
              <w:top w:w="110" w:type="dxa"/>
              <w:start w:w="130" w:type="dxa"/>
              <w:bottom w:w="110" w:type="dxa"/>
              <w:end w:w="130" w:type="dxa"/>
            </w:tcMar>
          </w:tcPr>
          <w:p>
            <w:pPr>
              <w:spacing w:after="0" w:line="252" w:lineRule="auto"/>
            </w:pPr>
            <w:r>
              <w:rPr>
                <w:sz w:val="17"/>
              </w:rPr>
              <w:t>Assess influence, interest, current engagement, desired engagement, expectations and concerns</w:t>
            </w:r>
          </w:p>
        </w:tc>
        <w:tc>
          <w:tcPr>
            <w:tcW w:type="dxa" w:w="3240"/>
            <w:vAlign w:val="center"/>
            <w:tcMar>
              <w:top w:w="110" w:type="dxa"/>
              <w:start w:w="130" w:type="dxa"/>
              <w:bottom w:w="110" w:type="dxa"/>
              <w:end w:w="130" w:type="dxa"/>
            </w:tcMar>
          </w:tcPr>
          <w:p>
            <w:pPr>
              <w:spacing w:after="0" w:line="252" w:lineRule="auto"/>
            </w:pPr>
            <w:r>
              <w:rPr>
                <w:sz w:val="17"/>
              </w:rPr>
              <w:t>Resistance or missing support threatens an objective or decision</w:t>
            </w:r>
          </w:p>
        </w:tc>
      </w:tr>
      <w:tr>
        <w:tc>
          <w:tcPr>
            <w:tcW w:type="dxa" w:w="1440"/>
            <w:vAlign w:val="center"/>
            <w:shd w:fill="F5F5F3"/>
            <w:tcMar>
              <w:top w:w="110" w:type="dxa"/>
              <w:start w:w="130" w:type="dxa"/>
              <w:bottom w:w="110" w:type="dxa"/>
              <w:end w:w="130" w:type="dxa"/>
            </w:tcMar>
          </w:tcPr>
          <w:p>
            <w:pPr>
              <w:spacing w:after="0" w:line="252" w:lineRule="auto"/>
            </w:pPr>
            <w:r>
              <w:rPr>
                <w:sz w:val="17"/>
              </w:rPr>
              <w:t>Change</w:t>
            </w:r>
          </w:p>
        </w:tc>
        <w:tc>
          <w:tcPr>
            <w:tcW w:type="dxa" w:w="6120"/>
            <w:vAlign w:val="center"/>
            <w:shd w:fill="F5F5F3"/>
            <w:tcMar>
              <w:top w:w="110" w:type="dxa"/>
              <w:start w:w="130" w:type="dxa"/>
              <w:bottom w:w="110" w:type="dxa"/>
              <w:end w:w="130" w:type="dxa"/>
            </w:tcMar>
          </w:tcPr>
          <w:p>
            <w:pPr>
              <w:spacing w:after="0" w:line="252" w:lineRule="auto"/>
            </w:pPr>
            <w:r>
              <w:rPr>
                <w:sz w:val="17"/>
              </w:rPr>
              <w:t>Describe the reason and assess scope, schedule, cost, quality, resources, risks, contracts, benefits and security</w:t>
            </w:r>
          </w:p>
        </w:tc>
        <w:tc>
          <w:tcPr>
            <w:tcW w:type="dxa" w:w="3240"/>
            <w:vAlign w:val="center"/>
            <w:shd w:fill="F5F5F3"/>
            <w:tcMar>
              <w:top w:w="110" w:type="dxa"/>
              <w:start w:w="130" w:type="dxa"/>
              <w:bottom w:w="110" w:type="dxa"/>
              <w:end w:w="130" w:type="dxa"/>
            </w:tcMar>
          </w:tcPr>
          <w:p>
            <w:pPr>
              <w:spacing w:after="0" w:line="252" w:lineRule="auto"/>
            </w:pPr>
            <w:r>
              <w:rPr>
                <w:sz w:val="17"/>
              </w:rPr>
              <w:t>An approved baseline, commitment or benefit may change</w:t>
            </w:r>
          </w:p>
        </w:tc>
      </w:tr>
    </w:tbl>
    <w:p>
      <w:pPr>
        <w:spacing w:after="20"/>
      </w:pPr>
    </w:p>
    <w:p>
      <w:pPr>
        <w:keepLines/>
      </w:pPr>
      <w:r>
        <w:t>Never use a risk record for a problem that has already occurred. Never implement a material baseline change while its request is still under review. The current change workflow is Draft, Submitted, Impact analysis, CCB review, decision, Implementation, Verification and Closed. Owner or admin authority is required for approval decisions and closure after verification.</w:t>
      </w:r>
    </w:p>
    <w:p>
      <w:pPr>
        <w:pStyle w:val="Heading1"/>
        <w:keepNext/>
      </w:pPr>
      <w:r>
        <w:t>Run predictive agile and hybrid delivery</w:t>
      </w:r>
    </w:p>
    <w:p>
      <w:pPr>
        <w:pStyle w:val="ListBullet"/>
        <w:spacing w:after="60"/>
        <w:keepLines/>
      </w:pPr>
      <w:r>
        <w:t>Open Delivery and Governance. Set the delivery method, cadence, WIP limit, reporting cut-off, definition of ready, definition of done and control ceremonies.</w:t>
      </w:r>
    </w:p>
    <w:p>
      <w:pPr>
        <w:pStyle w:val="ListBullet"/>
        <w:spacing w:after="60"/>
        <w:keepLines/>
      </w:pPr>
      <w:r>
        <w:t>Create the relevant delivery periods: sprints, phases, releases, stages or continuous-flow periods. Give each a clear goal, dates and realistic capacity.</w:t>
      </w:r>
    </w:p>
    <w:p>
      <w:pPr>
        <w:pStyle w:val="ListBullet"/>
        <w:spacing w:after="60"/>
        <w:keepLines/>
      </w:pPr>
      <w:r>
        <w:t>Create work items and link them to requirements and WBS records. Assign an owner, priority, estimate, status and due date.</w:t>
      </w:r>
    </w:p>
    <w:p>
      <w:pPr>
        <w:pStyle w:val="ListBullet"/>
        <w:spacing w:after="60"/>
        <w:keepLines/>
      </w:pPr>
      <w:r>
        <w:t>Do not start work that fails the definition of ready. Limit active work so the team finishes valuable items before starting more.</w:t>
      </w:r>
    </w:p>
    <w:p>
      <w:pPr>
        <w:pStyle w:val="ListBullet"/>
        <w:spacing w:after="60"/>
        <w:keepLines/>
      </w:pPr>
      <w:r>
        <w:t>Record acceptance criteria before delivery and evidence before marking work Done. Percent complete should match observable work, not optimism.</w:t>
      </w:r>
    </w:p>
    <w:p>
      <w:pPr>
        <w:pStyle w:val="ListBullet"/>
        <w:spacing w:after="60"/>
        <w:keepLines/>
      </w:pPr>
      <w:r>
        <w:t>Capture review outcomes and retrospective lessons. Convert lessons into changes to the next plan or iteration.</w:t>
      </w:r>
    </w:p>
    <w:p>
      <w:pPr>
        <w:pStyle w:val="Heading2"/>
        <w:keepNext/>
      </w:pPr>
      <w:r>
        <w:t>Use governance reviews</w:t>
      </w:r>
    </w:p>
    <w:p>
      <w:pPr>
        <w:keepLines/>
      </w:pPr>
      <w:r>
        <w:t>Create a governance review for a stage gate, sprint review, release review, steering committee or benefits review. Define the decision criteria before the meeting. Add evidence and a recommendation, then move the review from Draft to Scheduled and Ready. An owner or admin records approval, rejection or deferral with required comments. Approved reviews may then be closed.</w:t>
      </w:r>
    </w:p>
    <w:p>
      <w:pPr>
        <w:pStyle w:val="Heading1"/>
        <w:keepNext/>
      </w:pPr>
      <w:r>
        <w:t>Publish reliable status reports</w:t>
      </w:r>
    </w:p>
    <w:p>
      <w:pPr>
        <w:keepLines/>
      </w:pPr>
      <w:r>
        <w:t>Choose a reporting cut-off and update the source records before writing the narrative. ArkHimar PM captures delivery completion, blocked work, risks, issues, changes, PV, EV, AC, CPI and SPI when the report is published. Published reports are immutable.</w:t>
      </w:r>
    </w:p>
    <w:p>
      <w:pPr>
        <w:pStyle w:val="ListBullet"/>
        <w:spacing w:after="60"/>
        <w:keepLines/>
      </w:pPr>
      <w:r>
        <w:t>State overall health as On track, Watch or At risk. Explain any judgment that differs from the calculated indicators.</w:t>
      </w:r>
    </w:p>
    <w:p>
      <w:pPr>
        <w:pStyle w:val="ListBullet"/>
        <w:spacing w:after="60"/>
        <w:keepLines/>
      </w:pPr>
      <w:r>
        <w:t>Write the executive summary around outcomes, variance and action. Avoid listing activity without explaining its effect on objectives.</w:t>
      </w:r>
    </w:p>
    <w:p>
      <w:pPr>
        <w:pStyle w:val="ListBullet"/>
        <w:spacing w:after="60"/>
        <w:keepLines/>
      </w:pPr>
      <w:r>
        <w:t>Record achievements, next priorities, forecast milestones, exceptions and decisions needed.</w:t>
      </w:r>
    </w:p>
    <w:p>
      <w:pPr>
        <w:pStyle w:val="ListBullet"/>
        <w:spacing w:after="60"/>
        <w:keepLines/>
      </w:pPr>
      <w:r>
        <w:t>Name the decision owner and required date in the Decisions needed section.</w:t>
      </w:r>
    </w:p>
    <w:p>
      <w:pPr>
        <w:pStyle w:val="ListBullet"/>
        <w:spacing w:after="60"/>
        <w:keepLines/>
      </w:pPr>
      <w:r>
        <w:t>Correct a published error through a new report and an explanatory record. Do not attempt to erase the original snapshot.</w:t>
      </w:r>
    </w:p>
    <w:p>
      <w:pPr>
        <w:pStyle w:val="Heading1"/>
        <w:keepNext/>
      </w:pPr>
      <w:r>
        <w:t>Manage communications documents and access</w:t>
      </w:r>
    </w:p>
    <w:p>
      <w:pPr>
        <w:pStyle w:val="ListBullet"/>
        <w:spacing w:after="60"/>
        <w:keepLines/>
      </w:pPr>
      <w:r>
        <w:t>Use Communications to prepare branded email or letter content and select only authorized private attachments. Confirm recipients and classification before sending.</w:t>
      </w:r>
    </w:p>
    <w:p>
      <w:pPr>
        <w:pStyle w:val="ListBullet"/>
        <w:spacing w:after="60"/>
        <w:keepLines/>
      </w:pPr>
      <w:r>
        <w:t>Use controlled documents for records that need a document ID, version, review, approval, archive status or controlled export. Approved versions are immutable.</w:t>
      </w:r>
    </w:p>
    <w:p>
      <w:pPr>
        <w:pStyle w:val="ListBullet"/>
        <w:spacing w:after="60"/>
        <w:keepLines/>
      </w:pPr>
      <w:r>
        <w:t>Use private file attachments for working files. A signed access URL lasts briefly and should not be forwarded casually.</w:t>
      </w:r>
    </w:p>
    <w:p>
      <w:pPr>
        <w:pStyle w:val="ListBullet"/>
        <w:spacing w:after="60"/>
        <w:keepLines/>
      </w:pPr>
      <w:r>
        <w:t>Create external shares only for approved controlled-document versions. Set a suitable expiry and download limit, copy the token once, and revoke it when access is no longer required.</w:t>
      </w:r>
    </w:p>
    <w:p>
      <w:pPr>
        <w:pStyle w:val="ListBullet"/>
        <w:spacing w:after="60"/>
        <w:keepLines/>
      </w:pPr>
      <w:r>
        <w:t>Use Team and Access to apply least privilege. Remove access when a person leaves the project or no longer needs the workspace.</w:t>
      </w:r>
    </w:p>
    <w:p>
      <w:pPr>
        <w:pStyle w:val="ListBullet"/>
        <w:spacing w:after="60"/>
        <w:keepLines/>
      </w:pPr>
      <w:r>
        <w:t>Use the Integration Hub only with approved systems. API keys are shown once, stored as hashes and should be revoked if exposed.</w:t>
      </w:r>
    </w:p>
    <w:p>
      <w:pPr>
        <w:pStyle w:val="Heading1"/>
        <w:keepNext/>
      </w:pPr>
      <w:r>
        <w:t>Corporate project operating rhythm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shd w:fill="17324D"/>
            <w:vAlign w:val="center"/>
            <w:tcMar>
              <w:top w:w="110" w:type="dxa"/>
              <w:start w:w="130" w:type="dxa"/>
              <w:bottom w:w="110" w:type="dxa"/>
              <w:end w:w="130" w:type="dxa"/>
            </w:tcMar>
          </w:tcPr>
          <w:p>
            <w:r>
              <w:rPr>
                <w:b/>
                <w:color w:val="FFFFFF"/>
                <w:sz w:val="18"/>
              </w:rPr>
              <w:t>Cadence</w:t>
            </w:r>
          </w:p>
        </w:tc>
        <w:tc>
          <w:tcPr>
            <w:tcW w:type="dxa" w:w="6048"/>
            <w:shd w:fill="17324D"/>
            <w:vAlign w:val="center"/>
            <w:tcMar>
              <w:top w:w="110" w:type="dxa"/>
              <w:start w:w="130" w:type="dxa"/>
              <w:bottom w:w="110" w:type="dxa"/>
              <w:end w:w="130" w:type="dxa"/>
            </w:tcMar>
          </w:tcPr>
          <w:p>
            <w:r>
              <w:rPr>
                <w:b/>
                <w:color w:val="FFFFFF"/>
                <w:sz w:val="18"/>
              </w:rPr>
              <w:t>Project manager activity</w:t>
            </w:r>
          </w:p>
        </w:tc>
        <w:tc>
          <w:tcPr>
            <w:tcW w:type="dxa" w:w="3096"/>
            <w:shd w:fill="17324D"/>
            <w:vAlign w:val="center"/>
            <w:tcMar>
              <w:top w:w="110" w:type="dxa"/>
              <w:start w:w="130" w:type="dxa"/>
              <w:bottom w:w="110" w:type="dxa"/>
              <w:end w:w="130" w:type="dxa"/>
            </w:tcMar>
          </w:tcPr>
          <w:p>
            <w:r>
              <w:rPr>
                <w:b/>
                <w:color w:val="FFFFFF"/>
                <w:sz w:val="18"/>
              </w:rPr>
              <w:t>Expected output</w:t>
            </w:r>
          </w:p>
        </w:tc>
      </w:tr>
      <w:tr>
        <w:tc>
          <w:tcPr>
            <w:tcW w:type="dxa" w:w="1656"/>
            <w:vAlign w:val="center"/>
            <w:tcMar>
              <w:top w:w="110" w:type="dxa"/>
              <w:start w:w="130" w:type="dxa"/>
              <w:bottom w:w="110" w:type="dxa"/>
              <w:end w:w="130" w:type="dxa"/>
            </w:tcMar>
          </w:tcPr>
          <w:p>
            <w:pPr>
              <w:spacing w:after="0" w:line="252" w:lineRule="auto"/>
            </w:pPr>
            <w:r>
              <w:rPr>
                <w:sz w:val="17"/>
              </w:rPr>
              <w:t>Daily or frequent</w:t>
            </w:r>
          </w:p>
        </w:tc>
        <w:tc>
          <w:tcPr>
            <w:tcW w:type="dxa" w:w="6048"/>
            <w:vAlign w:val="center"/>
            <w:tcMar>
              <w:top w:w="110" w:type="dxa"/>
              <w:start w:w="130" w:type="dxa"/>
              <w:bottom w:w="110" w:type="dxa"/>
              <w:end w:w="130" w:type="dxa"/>
            </w:tcMar>
          </w:tcPr>
          <w:p>
            <w:pPr>
              <w:spacing w:after="0" w:line="252" w:lineRule="auto"/>
            </w:pPr>
            <w:r>
              <w:rPr>
                <w:sz w:val="17"/>
              </w:rPr>
              <w:t>Review blockers, critical work, urgent issues and decision deadlines</w:t>
            </w:r>
          </w:p>
        </w:tc>
        <w:tc>
          <w:tcPr>
            <w:tcW w:type="dxa" w:w="3096"/>
            <w:vAlign w:val="center"/>
            <w:tcMar>
              <w:top w:w="110" w:type="dxa"/>
              <w:start w:w="130" w:type="dxa"/>
              <w:bottom w:w="110" w:type="dxa"/>
              <w:end w:w="130" w:type="dxa"/>
            </w:tcMar>
          </w:tcPr>
          <w:p>
            <w:pPr>
              <w:spacing w:after="0" w:line="252" w:lineRule="auto"/>
            </w:pPr>
            <w:r>
              <w:rPr>
                <w:sz w:val="17"/>
              </w:rPr>
              <w:t>Updated owners and immediate action</w:t>
            </w:r>
          </w:p>
        </w:tc>
      </w:tr>
      <w:tr>
        <w:tc>
          <w:tcPr>
            <w:tcW w:type="dxa" w:w="1656"/>
            <w:vAlign w:val="center"/>
            <w:shd w:fill="F5F5F3"/>
            <w:tcMar>
              <w:top w:w="110" w:type="dxa"/>
              <w:start w:w="130" w:type="dxa"/>
              <w:bottom w:w="110" w:type="dxa"/>
              <w:end w:w="130" w:type="dxa"/>
            </w:tcMar>
          </w:tcPr>
          <w:p>
            <w:pPr>
              <w:spacing w:after="0" w:line="252" w:lineRule="auto"/>
            </w:pPr>
            <w:r>
              <w:rPr>
                <w:sz w:val="17"/>
              </w:rPr>
              <w:t>Weekly</w:t>
            </w:r>
          </w:p>
        </w:tc>
        <w:tc>
          <w:tcPr>
            <w:tcW w:type="dxa" w:w="6048"/>
            <w:vAlign w:val="center"/>
            <w:shd w:fill="F5F5F3"/>
            <w:tcMar>
              <w:top w:w="110" w:type="dxa"/>
              <w:start w:w="130" w:type="dxa"/>
              <w:bottom w:w="110" w:type="dxa"/>
              <w:end w:w="130" w:type="dxa"/>
            </w:tcMar>
          </w:tcPr>
          <w:p>
            <w:pPr>
              <w:spacing w:after="0" w:line="252" w:lineRule="auto"/>
            </w:pPr>
            <w:r>
              <w:rPr>
                <w:sz w:val="17"/>
              </w:rPr>
              <w:t>Update schedule, cost, RAID, changes, stakeholder actions and execution board</w:t>
            </w:r>
          </w:p>
        </w:tc>
        <w:tc>
          <w:tcPr>
            <w:tcW w:type="dxa" w:w="3096"/>
            <w:vAlign w:val="center"/>
            <w:shd w:fill="F5F5F3"/>
            <w:tcMar>
              <w:top w:w="110" w:type="dxa"/>
              <w:start w:w="130" w:type="dxa"/>
              <w:bottom w:w="110" w:type="dxa"/>
              <w:end w:w="130" w:type="dxa"/>
            </w:tcMar>
          </w:tcPr>
          <w:p>
            <w:pPr>
              <w:spacing w:after="0" w:line="252" w:lineRule="auto"/>
            </w:pPr>
            <w:r>
              <w:rPr>
                <w:sz w:val="17"/>
              </w:rPr>
              <w:t>Reliable control data at the agreed cut-off</w:t>
            </w:r>
          </w:p>
        </w:tc>
      </w:tr>
      <w:tr>
        <w:tc>
          <w:tcPr>
            <w:tcW w:type="dxa" w:w="1656"/>
            <w:vAlign w:val="center"/>
            <w:tcMar>
              <w:top w:w="110" w:type="dxa"/>
              <w:start w:w="130" w:type="dxa"/>
              <w:bottom w:w="110" w:type="dxa"/>
              <w:end w:w="130" w:type="dxa"/>
            </w:tcMar>
          </w:tcPr>
          <w:p>
            <w:pPr>
              <w:spacing w:after="0" w:line="252" w:lineRule="auto"/>
            </w:pPr>
            <w:r>
              <w:rPr>
                <w:sz w:val="17"/>
              </w:rPr>
              <w:t>Fortnightly or sprint</w:t>
            </w:r>
          </w:p>
        </w:tc>
        <w:tc>
          <w:tcPr>
            <w:tcW w:type="dxa" w:w="6048"/>
            <w:vAlign w:val="center"/>
            <w:tcMar>
              <w:top w:w="110" w:type="dxa"/>
              <w:start w:w="130" w:type="dxa"/>
              <w:bottom w:w="110" w:type="dxa"/>
              <w:end w:w="130" w:type="dxa"/>
            </w:tcMar>
          </w:tcPr>
          <w:p>
            <w:pPr>
              <w:spacing w:after="0" w:line="252" w:lineRule="auto"/>
            </w:pPr>
            <w:r>
              <w:rPr>
                <w:sz w:val="17"/>
              </w:rPr>
              <w:t>Plan work, review completed evidence and hold a retrospective</w:t>
            </w:r>
          </w:p>
        </w:tc>
        <w:tc>
          <w:tcPr>
            <w:tcW w:type="dxa" w:w="3096"/>
            <w:vAlign w:val="center"/>
            <w:tcMar>
              <w:top w:w="110" w:type="dxa"/>
              <w:start w:w="130" w:type="dxa"/>
              <w:bottom w:w="110" w:type="dxa"/>
              <w:end w:w="130" w:type="dxa"/>
            </w:tcMar>
          </w:tcPr>
          <w:p>
            <w:pPr>
              <w:spacing w:after="0" w:line="252" w:lineRule="auto"/>
            </w:pPr>
            <w:r>
              <w:rPr>
                <w:sz w:val="17"/>
              </w:rPr>
              <w:t>Accepted increment and improved next plan</w:t>
            </w:r>
          </w:p>
        </w:tc>
      </w:tr>
      <w:tr>
        <w:tc>
          <w:tcPr>
            <w:tcW w:type="dxa" w:w="1656"/>
            <w:vAlign w:val="center"/>
            <w:shd w:fill="F5F5F3"/>
            <w:tcMar>
              <w:top w:w="110" w:type="dxa"/>
              <w:start w:w="130" w:type="dxa"/>
              <w:bottom w:w="110" w:type="dxa"/>
              <w:end w:w="130" w:type="dxa"/>
            </w:tcMar>
          </w:tcPr>
          <w:p>
            <w:pPr>
              <w:spacing w:after="0" w:line="252" w:lineRule="auto"/>
            </w:pPr>
            <w:r>
              <w:rPr>
                <w:sz w:val="17"/>
              </w:rPr>
              <w:t>Monthly</w:t>
            </w:r>
          </w:p>
        </w:tc>
        <w:tc>
          <w:tcPr>
            <w:tcW w:type="dxa" w:w="6048"/>
            <w:vAlign w:val="center"/>
            <w:shd w:fill="F5F5F3"/>
            <w:tcMar>
              <w:top w:w="110" w:type="dxa"/>
              <w:start w:w="130" w:type="dxa"/>
              <w:bottom w:w="110" w:type="dxa"/>
              <w:end w:w="130" w:type="dxa"/>
            </w:tcMar>
          </w:tcPr>
          <w:p>
            <w:pPr>
              <w:spacing w:after="0" w:line="252" w:lineRule="auto"/>
            </w:pPr>
            <w:r>
              <w:rPr>
                <w:sz w:val="17"/>
              </w:rPr>
              <w:t>Reforecast completion, prepare status, review benefits and chair governance</w:t>
            </w:r>
          </w:p>
        </w:tc>
        <w:tc>
          <w:tcPr>
            <w:tcW w:type="dxa" w:w="3096"/>
            <w:vAlign w:val="center"/>
            <w:shd w:fill="F5F5F3"/>
            <w:tcMar>
              <w:top w:w="110" w:type="dxa"/>
              <w:start w:w="130" w:type="dxa"/>
              <w:bottom w:w="110" w:type="dxa"/>
              <w:end w:w="130" w:type="dxa"/>
            </w:tcMar>
          </w:tcPr>
          <w:p>
            <w:pPr>
              <w:spacing w:after="0" w:line="252" w:lineRule="auto"/>
            </w:pPr>
            <w:r>
              <w:rPr>
                <w:sz w:val="17"/>
              </w:rPr>
              <w:t>Published report and recorded decisions</w:t>
            </w:r>
          </w:p>
        </w:tc>
      </w:tr>
      <w:tr>
        <w:tc>
          <w:tcPr>
            <w:tcW w:type="dxa" w:w="1656"/>
            <w:vAlign w:val="center"/>
            <w:tcMar>
              <w:top w:w="110" w:type="dxa"/>
              <w:start w:w="130" w:type="dxa"/>
              <w:bottom w:w="110" w:type="dxa"/>
              <w:end w:w="130" w:type="dxa"/>
            </w:tcMar>
          </w:tcPr>
          <w:p>
            <w:pPr>
              <w:spacing w:after="0" w:line="252" w:lineRule="auto"/>
            </w:pPr>
            <w:r>
              <w:rPr>
                <w:sz w:val="17"/>
              </w:rPr>
              <w:t>At each gate</w:t>
            </w:r>
          </w:p>
        </w:tc>
        <w:tc>
          <w:tcPr>
            <w:tcW w:type="dxa" w:w="6048"/>
            <w:vAlign w:val="center"/>
            <w:tcMar>
              <w:top w:w="110" w:type="dxa"/>
              <w:start w:w="130" w:type="dxa"/>
              <w:bottom w:w="110" w:type="dxa"/>
              <w:end w:w="130" w:type="dxa"/>
            </w:tcMar>
          </w:tcPr>
          <w:p>
            <w:pPr>
              <w:spacing w:after="0" w:line="252" w:lineRule="auto"/>
            </w:pPr>
            <w:r>
              <w:rPr>
                <w:sz w:val="17"/>
              </w:rPr>
              <w:t>Confirm criteria, artifacts, risks, affordability and readiness</w:t>
            </w:r>
          </w:p>
        </w:tc>
        <w:tc>
          <w:tcPr>
            <w:tcW w:type="dxa" w:w="3096"/>
            <w:vAlign w:val="center"/>
            <w:tcMar>
              <w:top w:w="110" w:type="dxa"/>
              <w:start w:w="130" w:type="dxa"/>
              <w:bottom w:w="110" w:type="dxa"/>
              <w:end w:w="130" w:type="dxa"/>
            </w:tcMar>
          </w:tcPr>
          <w:p>
            <w:pPr>
              <w:spacing w:after="0" w:line="252" w:lineRule="auto"/>
            </w:pPr>
            <w:r>
              <w:rPr>
                <w:sz w:val="17"/>
              </w:rPr>
              <w:t>Approve, reject or defer with comments</w:t>
            </w:r>
          </w:p>
        </w:tc>
      </w:tr>
    </w:tbl>
    <w:p>
      <w:pPr>
        <w:spacing w:after="20"/>
      </w:pPr>
    </w:p>
    <w:p>
      <w:pPr>
        <w:pStyle w:val="Heading2"/>
        <w:keepNext/>
      </w:pPr>
      <w:r>
        <w:t>Meetings and decision discipline</w:t>
      </w:r>
    </w:p>
    <w:p>
      <w:pPr>
        <w:keepLines/>
      </w:pPr>
      <w:r>
        <w:t>For each meeting, circulate the purpose and agenda, identify the decision owner, record attendees, capture decisions and assign actions with due dates. ArkHimar PM does not yet provide a normalized meeting record or note-to-action conversion. Maintain the meeting record as a controlled document or approved corporate record, then update the relevant risk, issue, change, work item or governance review in ArkHimar PM.</w:t>
      </w:r>
    </w:p>
    <w:p>
      <w:pPr>
        <w:pStyle w:val="Heading2"/>
        <w:keepNext/>
      </w:pPr>
      <w:r>
        <w:t>Escalation practice</w:t>
      </w:r>
    </w:p>
    <w:p>
      <w:pPr>
        <w:keepLines/>
      </w:pPr>
      <w:r>
        <w:t>Escalation is a request for a decision or support that exceeds the project manager's authority. State the condition, evidence, effect on objectives, options, recommendation, decision owner and latest useful decision date. Do not escalate a vague concern, and do not conceal an exceeded tolerance because the team hopes to recover later.</w:t>
      </w:r>
    </w:p>
    <w:p>
      <w:pPr>
        <w:pStyle w:val="Heading1"/>
        <w:keepNext/>
      </w:pPr>
      <w:r>
        <w:t>First thirty days checklist</w:t>
      </w:r>
    </w:p>
    <w:p>
      <w:pPr>
        <w:pStyle w:val="ListBullet"/>
        <w:spacing w:after="60"/>
        <w:keepLines/>
      </w:pPr>
      <w:r>
        <w:t>Confirm sponsor, project manager, decision rights, confidentiality and reporting cadence.</w:t>
      </w:r>
    </w:p>
    <w:p>
      <w:pPr>
        <w:pStyle w:val="ListBullet"/>
        <w:spacing w:after="60"/>
        <w:keepLines/>
      </w:pPr>
      <w:r>
        <w:t>Validate the business need, outcomes, options, affordability and major assumptions.</w:t>
      </w:r>
    </w:p>
    <w:p>
      <w:pPr>
        <w:pStyle w:val="ListBullet"/>
        <w:spacing w:after="60"/>
        <w:keepLines/>
      </w:pPr>
      <w:r>
        <w:t>Obtain an approved charter before committing substantial delivery resources.</w:t>
      </w:r>
    </w:p>
    <w:p>
      <w:pPr>
        <w:pStyle w:val="ListBullet"/>
        <w:spacing w:after="60"/>
        <w:keepLines/>
      </w:pPr>
      <w:r>
        <w:t>Identify stakeholders and agree how decisions, risks and issues will be communicated.</w:t>
      </w:r>
    </w:p>
    <w:p>
      <w:pPr>
        <w:pStyle w:val="ListBullet"/>
        <w:spacing w:after="60"/>
        <w:keepLines/>
      </w:pPr>
      <w:r>
        <w:t>Create requirements, acceptance criteria, WBS, schedule and cost plan.</w:t>
      </w:r>
    </w:p>
    <w:p>
      <w:pPr>
        <w:pStyle w:val="ListBullet"/>
        <w:spacing w:after="60"/>
        <w:keepLines/>
      </w:pPr>
      <w:r>
        <w:t>Resolve planning inconsistencies and obtain appropriate baselines.</w:t>
      </w:r>
    </w:p>
    <w:p>
      <w:pPr>
        <w:pStyle w:val="ListBullet"/>
        <w:spacing w:after="60"/>
        <w:keepLines/>
      </w:pPr>
      <w:r>
        <w:t>Set the execution method, WIP, definitions and governance reviews.</w:t>
      </w:r>
    </w:p>
    <w:p>
      <w:pPr>
        <w:pStyle w:val="ListBullet"/>
        <w:spacing w:after="60"/>
        <w:keepLines/>
      </w:pPr>
      <w:r>
        <w:t>Establish the weekly update cut-off and publish the first status report.</w:t>
      </w:r>
    </w:p>
    <w:p>
      <w:pPr>
        <w:pStyle w:val="ListBullet"/>
        <w:spacing w:after="60"/>
        <w:keepLines/>
      </w:pPr>
      <w:r>
        <w:t>Confirm document controls, access rights, external-sharing rules and audit expectations.</w:t>
      </w:r>
    </w:p>
    <w:p>
      <w:pPr>
        <w:pStyle w:val="Heading1"/>
        <w:keepNext/>
      </w:pPr>
      <w:r>
        <w:t>Common failure modes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2376"/>
            <w:shd w:fill="17324D"/>
            <w:vAlign w:val="center"/>
            <w:tcMar>
              <w:top w:w="110" w:type="dxa"/>
              <w:start w:w="130" w:type="dxa"/>
              <w:bottom w:w="110" w:type="dxa"/>
              <w:end w:w="130" w:type="dxa"/>
            </w:tcMar>
          </w:tcPr>
          <w:p>
            <w:r>
              <w:rPr>
                <w:b/>
                <w:color w:val="FFFFFF"/>
                <w:sz w:val="18"/>
              </w:rPr>
              <w:t>Failure</w:t>
            </w:r>
          </w:p>
        </w:tc>
        <w:tc>
          <w:tcPr>
            <w:tcW w:type="dxa" w:w="4104"/>
            <w:shd w:fill="17324D"/>
            <w:vAlign w:val="center"/>
            <w:tcMar>
              <w:top w:w="110" w:type="dxa"/>
              <w:start w:w="130" w:type="dxa"/>
              <w:bottom w:w="110" w:type="dxa"/>
              <w:end w:w="130" w:type="dxa"/>
            </w:tcMar>
          </w:tcPr>
          <w:p>
            <w:r>
              <w:rPr>
                <w:b/>
                <w:color w:val="FFFFFF"/>
                <w:sz w:val="18"/>
              </w:rPr>
              <w:t>Why it is harmful</w:t>
            </w:r>
          </w:p>
        </w:tc>
        <w:tc>
          <w:tcPr>
            <w:tcW w:type="dxa" w:w="4320"/>
            <w:shd w:fill="17324D"/>
            <w:vAlign w:val="center"/>
            <w:tcMar>
              <w:top w:w="110" w:type="dxa"/>
              <w:start w:w="130" w:type="dxa"/>
              <w:bottom w:w="110" w:type="dxa"/>
              <w:end w:w="130" w:type="dxa"/>
            </w:tcMar>
          </w:tcPr>
          <w:p>
            <w:r>
              <w:rPr>
                <w:b/>
                <w:color w:val="FFFFFF"/>
                <w:sz w:val="18"/>
              </w:rPr>
              <w:t>Corrective action</w:t>
            </w:r>
          </w:p>
        </w:tc>
      </w:tr>
      <w:tr>
        <w:tc>
          <w:tcPr>
            <w:tcW w:type="dxa" w:w="2376"/>
            <w:vAlign w:val="center"/>
            <w:tcMar>
              <w:top w:w="110" w:type="dxa"/>
              <w:start w:w="130" w:type="dxa"/>
              <w:bottom w:w="110" w:type="dxa"/>
              <w:end w:w="130" w:type="dxa"/>
            </w:tcMar>
          </w:tcPr>
          <w:p>
            <w:pPr>
              <w:spacing w:after="0" w:line="252" w:lineRule="auto"/>
            </w:pPr>
            <w:r>
              <w:rPr>
                <w:sz w:val="17"/>
              </w:rPr>
              <w:t>Treating the readiness score as project health</w:t>
            </w:r>
          </w:p>
        </w:tc>
        <w:tc>
          <w:tcPr>
            <w:tcW w:type="dxa" w:w="4104"/>
            <w:vAlign w:val="center"/>
            <w:tcMar>
              <w:top w:w="110" w:type="dxa"/>
              <w:start w:w="130" w:type="dxa"/>
              <w:bottom w:w="110" w:type="dxa"/>
              <w:end w:w="130" w:type="dxa"/>
            </w:tcMar>
          </w:tcPr>
          <w:p>
            <w:pPr>
              <w:spacing w:after="0" w:line="252" w:lineRule="auto"/>
            </w:pPr>
            <w:r>
              <w:rPr>
                <w:sz w:val="17"/>
              </w:rPr>
              <w:t>Records may exist but contain weak assumptions</w:t>
            </w:r>
          </w:p>
        </w:tc>
        <w:tc>
          <w:tcPr>
            <w:tcW w:type="dxa" w:w="4320"/>
            <w:vAlign w:val="center"/>
            <w:tcMar>
              <w:top w:w="110" w:type="dxa"/>
              <w:start w:w="130" w:type="dxa"/>
              <w:bottom w:w="110" w:type="dxa"/>
              <w:end w:w="130" w:type="dxa"/>
            </w:tcMar>
          </w:tcPr>
          <w:p>
            <w:pPr>
              <w:spacing w:after="0" w:line="252" w:lineRule="auto"/>
            </w:pPr>
            <w:r>
              <w:rPr>
                <w:sz w:val="17"/>
              </w:rPr>
              <w:t>Review evidence, forecast and exceptions separately</w:t>
            </w:r>
          </w:p>
        </w:tc>
      </w:tr>
      <w:tr>
        <w:tc>
          <w:tcPr>
            <w:tcW w:type="dxa" w:w="2376"/>
            <w:vAlign w:val="center"/>
            <w:shd w:fill="F5F5F3"/>
            <w:tcMar>
              <w:top w:w="110" w:type="dxa"/>
              <w:start w:w="130" w:type="dxa"/>
              <w:bottom w:w="110" w:type="dxa"/>
              <w:end w:w="130" w:type="dxa"/>
            </w:tcMar>
          </w:tcPr>
          <w:p>
            <w:pPr>
              <w:spacing w:after="0" w:line="252" w:lineRule="auto"/>
            </w:pPr>
            <w:r>
              <w:rPr>
                <w:sz w:val="17"/>
              </w:rPr>
              <w:t>Marking work complete without evidence</w:t>
            </w:r>
          </w:p>
        </w:tc>
        <w:tc>
          <w:tcPr>
            <w:tcW w:type="dxa" w:w="4104"/>
            <w:vAlign w:val="center"/>
            <w:shd w:fill="F5F5F3"/>
            <w:tcMar>
              <w:top w:w="110" w:type="dxa"/>
              <w:start w:w="130" w:type="dxa"/>
              <w:bottom w:w="110" w:type="dxa"/>
              <w:end w:w="130" w:type="dxa"/>
            </w:tcMar>
          </w:tcPr>
          <w:p>
            <w:pPr>
              <w:spacing w:after="0" w:line="252" w:lineRule="auto"/>
            </w:pPr>
            <w:r>
              <w:rPr>
                <w:sz w:val="17"/>
              </w:rPr>
              <w:t>Acceptance becomes subjective and disputes increase</w:t>
            </w:r>
          </w:p>
        </w:tc>
        <w:tc>
          <w:tcPr>
            <w:tcW w:type="dxa" w:w="4320"/>
            <w:vAlign w:val="center"/>
            <w:shd w:fill="F5F5F3"/>
            <w:tcMar>
              <w:top w:w="110" w:type="dxa"/>
              <w:start w:w="130" w:type="dxa"/>
              <w:bottom w:w="110" w:type="dxa"/>
              <w:end w:w="130" w:type="dxa"/>
            </w:tcMar>
          </w:tcPr>
          <w:p>
            <w:pPr>
              <w:spacing w:after="0" w:line="252" w:lineRule="auto"/>
            </w:pPr>
            <w:r>
              <w:rPr>
                <w:sz w:val="17"/>
              </w:rPr>
              <w:t>Define criteria first and attach or cite completion evidence</w:t>
            </w:r>
          </w:p>
        </w:tc>
      </w:tr>
      <w:tr>
        <w:tc>
          <w:tcPr>
            <w:tcW w:type="dxa" w:w="2376"/>
            <w:vAlign w:val="center"/>
            <w:tcMar>
              <w:top w:w="110" w:type="dxa"/>
              <w:start w:w="130" w:type="dxa"/>
              <w:bottom w:w="110" w:type="dxa"/>
              <w:end w:w="130" w:type="dxa"/>
            </w:tcMar>
          </w:tcPr>
          <w:p>
            <w:pPr>
              <w:spacing w:after="0" w:line="252" w:lineRule="auto"/>
            </w:pPr>
            <w:r>
              <w:rPr>
                <w:sz w:val="17"/>
              </w:rPr>
              <w:t>Updating a baseline to match actual performance</w:t>
            </w:r>
          </w:p>
        </w:tc>
        <w:tc>
          <w:tcPr>
            <w:tcW w:type="dxa" w:w="4104"/>
            <w:vAlign w:val="center"/>
            <w:tcMar>
              <w:top w:w="110" w:type="dxa"/>
              <w:start w:w="130" w:type="dxa"/>
              <w:bottom w:w="110" w:type="dxa"/>
              <w:end w:w="130" w:type="dxa"/>
            </w:tcMar>
          </w:tcPr>
          <w:p>
            <w:pPr>
              <w:spacing w:after="0" w:line="252" w:lineRule="auto"/>
            </w:pPr>
            <w:r>
              <w:rPr>
                <w:sz w:val="17"/>
              </w:rPr>
              <w:t>Variance and decision history disappear</w:t>
            </w:r>
          </w:p>
        </w:tc>
        <w:tc>
          <w:tcPr>
            <w:tcW w:type="dxa" w:w="4320"/>
            <w:vAlign w:val="center"/>
            <w:tcMar>
              <w:top w:w="110" w:type="dxa"/>
              <w:start w:w="130" w:type="dxa"/>
              <w:bottom w:w="110" w:type="dxa"/>
              <w:end w:w="130" w:type="dxa"/>
            </w:tcMar>
          </w:tcPr>
          <w:p>
            <w:pPr>
              <w:spacing w:after="0" w:line="252" w:lineRule="auto"/>
            </w:pPr>
            <w:r>
              <w:rPr>
                <w:sz w:val="17"/>
              </w:rPr>
              <w:t>Preserve the baseline and use a governed change revision</w:t>
            </w:r>
          </w:p>
        </w:tc>
      </w:tr>
      <w:tr>
        <w:tc>
          <w:tcPr>
            <w:tcW w:type="dxa" w:w="2376"/>
            <w:vAlign w:val="center"/>
            <w:shd w:fill="F5F5F3"/>
            <w:tcMar>
              <w:top w:w="110" w:type="dxa"/>
              <w:start w:w="130" w:type="dxa"/>
              <w:bottom w:w="110" w:type="dxa"/>
              <w:end w:w="130" w:type="dxa"/>
            </w:tcMar>
          </w:tcPr>
          <w:p>
            <w:pPr>
              <w:spacing w:after="0" w:line="252" w:lineRule="auto"/>
            </w:pPr>
            <w:r>
              <w:rPr>
                <w:sz w:val="17"/>
              </w:rPr>
              <w:t>Reporting activity instead of outcomes</w:t>
            </w:r>
          </w:p>
        </w:tc>
        <w:tc>
          <w:tcPr>
            <w:tcW w:type="dxa" w:w="4104"/>
            <w:vAlign w:val="center"/>
            <w:shd w:fill="F5F5F3"/>
            <w:tcMar>
              <w:top w:w="110" w:type="dxa"/>
              <w:start w:w="130" w:type="dxa"/>
              <w:bottom w:w="110" w:type="dxa"/>
              <w:end w:w="130" w:type="dxa"/>
            </w:tcMar>
          </w:tcPr>
          <w:p>
            <w:pPr>
              <w:spacing w:after="0" w:line="252" w:lineRule="auto"/>
            </w:pPr>
            <w:r>
              <w:rPr>
                <w:sz w:val="17"/>
              </w:rPr>
              <w:t>Sponsors cannot see value, variance or decisions</w:t>
            </w:r>
          </w:p>
        </w:tc>
        <w:tc>
          <w:tcPr>
            <w:tcW w:type="dxa" w:w="4320"/>
            <w:vAlign w:val="center"/>
            <w:shd w:fill="F5F5F3"/>
            <w:tcMar>
              <w:top w:w="110" w:type="dxa"/>
              <w:start w:w="130" w:type="dxa"/>
              <w:bottom w:w="110" w:type="dxa"/>
              <w:end w:w="130" w:type="dxa"/>
            </w:tcMar>
          </w:tcPr>
          <w:p>
            <w:pPr>
              <w:spacing w:after="0" w:line="252" w:lineRule="auto"/>
            </w:pPr>
            <w:r>
              <w:rPr>
                <w:sz w:val="17"/>
              </w:rPr>
              <w:t>Explain achievement, forecast, risk and required action</w:t>
            </w:r>
          </w:p>
        </w:tc>
      </w:tr>
      <w:tr>
        <w:tc>
          <w:tcPr>
            <w:tcW w:type="dxa" w:w="2376"/>
            <w:vAlign w:val="center"/>
            <w:tcMar>
              <w:top w:w="110" w:type="dxa"/>
              <w:start w:w="130" w:type="dxa"/>
              <w:bottom w:w="110" w:type="dxa"/>
              <w:end w:w="130" w:type="dxa"/>
            </w:tcMar>
          </w:tcPr>
          <w:p>
            <w:pPr>
              <w:spacing w:after="0" w:line="252" w:lineRule="auto"/>
            </w:pPr>
            <w:r>
              <w:rPr>
                <w:sz w:val="17"/>
              </w:rPr>
              <w:t>Assigning every risk to the PM</w:t>
            </w:r>
          </w:p>
        </w:tc>
        <w:tc>
          <w:tcPr>
            <w:tcW w:type="dxa" w:w="4104"/>
            <w:vAlign w:val="center"/>
            <w:tcMar>
              <w:top w:w="110" w:type="dxa"/>
              <w:start w:w="130" w:type="dxa"/>
              <w:bottom w:w="110" w:type="dxa"/>
              <w:end w:w="130" w:type="dxa"/>
            </w:tcMar>
          </w:tcPr>
          <w:p>
            <w:pPr>
              <w:spacing w:after="0" w:line="252" w:lineRule="auto"/>
            </w:pPr>
            <w:r>
              <w:rPr>
                <w:sz w:val="17"/>
              </w:rPr>
              <w:t>Responses lack accountable subject expertise</w:t>
            </w:r>
          </w:p>
        </w:tc>
        <w:tc>
          <w:tcPr>
            <w:tcW w:type="dxa" w:w="4320"/>
            <w:vAlign w:val="center"/>
            <w:tcMar>
              <w:top w:w="110" w:type="dxa"/>
              <w:start w:w="130" w:type="dxa"/>
              <w:bottom w:w="110" w:type="dxa"/>
              <w:end w:w="130" w:type="dxa"/>
            </w:tcMar>
          </w:tcPr>
          <w:p>
            <w:pPr>
              <w:spacing w:after="0" w:line="252" w:lineRule="auto"/>
            </w:pPr>
            <w:r>
              <w:rPr>
                <w:sz w:val="17"/>
              </w:rPr>
              <w:t>Assign the person with authority and capability to act</w:t>
            </w:r>
          </w:p>
        </w:tc>
      </w:tr>
      <w:tr>
        <w:tc>
          <w:tcPr>
            <w:tcW w:type="dxa" w:w="2376"/>
            <w:vAlign w:val="center"/>
            <w:shd w:fill="F5F5F3"/>
            <w:tcMar>
              <w:top w:w="110" w:type="dxa"/>
              <w:start w:w="130" w:type="dxa"/>
              <w:bottom w:w="110" w:type="dxa"/>
              <w:end w:w="130" w:type="dxa"/>
            </w:tcMar>
          </w:tcPr>
          <w:p>
            <w:pPr>
              <w:spacing w:after="0" w:line="252" w:lineRule="auto"/>
            </w:pPr>
            <w:r>
              <w:rPr>
                <w:sz w:val="17"/>
              </w:rPr>
              <w:t>Starting too much work</w:t>
            </w:r>
          </w:p>
        </w:tc>
        <w:tc>
          <w:tcPr>
            <w:tcW w:type="dxa" w:w="4104"/>
            <w:vAlign w:val="center"/>
            <w:shd w:fill="F5F5F3"/>
            <w:tcMar>
              <w:top w:w="110" w:type="dxa"/>
              <w:start w:w="130" w:type="dxa"/>
              <w:bottom w:w="110" w:type="dxa"/>
              <w:end w:w="130" w:type="dxa"/>
            </w:tcMar>
          </w:tcPr>
          <w:p>
            <w:pPr>
              <w:spacing w:after="0" w:line="252" w:lineRule="auto"/>
            </w:pPr>
            <w:r>
              <w:rPr>
                <w:sz w:val="17"/>
              </w:rPr>
              <w:t>Queues grow and completion slows</w:t>
            </w:r>
          </w:p>
        </w:tc>
        <w:tc>
          <w:tcPr>
            <w:tcW w:type="dxa" w:w="4320"/>
            <w:vAlign w:val="center"/>
            <w:shd w:fill="F5F5F3"/>
            <w:tcMar>
              <w:top w:w="110" w:type="dxa"/>
              <w:start w:w="130" w:type="dxa"/>
              <w:bottom w:w="110" w:type="dxa"/>
              <w:end w:w="130" w:type="dxa"/>
            </w:tcMar>
          </w:tcPr>
          <w:p>
            <w:pPr>
              <w:spacing w:after="0" w:line="252" w:lineRule="auto"/>
            </w:pPr>
            <w:r>
              <w:rPr>
                <w:sz w:val="17"/>
              </w:rPr>
              <w:t>Apply the WIP limit and finish priority items</w:t>
            </w:r>
          </w:p>
        </w:tc>
      </w:tr>
    </w:tbl>
    <w:p>
      <w:pPr>
        <w:spacing w:after="20"/>
      </w:pPr>
    </w:p>
    <w:p>
      <w:pPr>
        <w:pStyle w:val="Heading1"/>
        <w:keepNext/>
      </w:pPr>
      <w:r>
        <w:t>Current platform boundaries</w:t>
      </w:r>
    </w:p>
    <w:p>
      <w:pPr>
        <w:keepLines/>
      </w:pPr>
      <w:r>
        <w:t>The private beta currently supports the governed records described above after the final database migration is applied. Threaded comments, mentions, watchers, notification preferences, normalized meeting records, team-member self-service work updates, portfolio dashboards, specialist quality/resource/procurement registers, PPTX/XLSX exports, SSO/SCIM and secure AI assistance are not yet production capabilities. Use approved corporate processes alongside ArkHimar PM where these functions are required.</w:t>
      </w:r>
    </w:p>
    <w:p>
      <w:pPr>
        <w:pStyle w:val="Heading1"/>
        <w:keepNext/>
      </w:pPr>
      <w:r>
        <w:t>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160"/>
            <w:shd w:fill="17324D"/>
            <w:vAlign w:val="center"/>
            <w:tcMar>
              <w:top w:w="110" w:type="dxa"/>
              <w:start w:w="130" w:type="dxa"/>
              <w:bottom w:w="110" w:type="dxa"/>
              <w:end w:w="130" w:type="dxa"/>
            </w:tcMar>
          </w:tcPr>
          <w:p>
            <w:r>
              <w:rPr>
                <w:b/>
                <w:color w:val="FFFFFF"/>
                <w:sz w:val="18"/>
              </w:rPr>
              <w:t>Term</w:t>
            </w:r>
          </w:p>
        </w:tc>
        <w:tc>
          <w:tcPr>
            <w:tcW w:type="dxa" w:w="8640"/>
            <w:shd w:fill="17324D"/>
            <w:vAlign w:val="center"/>
            <w:tcMar>
              <w:top w:w="110" w:type="dxa"/>
              <w:start w:w="130" w:type="dxa"/>
              <w:bottom w:w="110" w:type="dxa"/>
              <w:end w:w="130" w:type="dxa"/>
            </w:tcMar>
          </w:tcPr>
          <w:p>
            <w:r>
              <w:rPr>
                <w:b/>
                <w:color w:val="FFFFFF"/>
                <w:sz w:val="18"/>
              </w:rPr>
              <w:t>Meaning</w:t>
            </w:r>
          </w:p>
        </w:tc>
      </w:tr>
      <w:tr>
        <w:tc>
          <w:tcPr>
            <w:tcW w:type="dxa" w:w="2160"/>
            <w:vAlign w:val="center"/>
            <w:tcMar>
              <w:top w:w="110" w:type="dxa"/>
              <w:start w:w="130" w:type="dxa"/>
              <w:bottom w:w="110" w:type="dxa"/>
              <w:end w:w="130" w:type="dxa"/>
            </w:tcMar>
          </w:tcPr>
          <w:p>
            <w:pPr>
              <w:spacing w:after="0" w:line="252" w:lineRule="auto"/>
            </w:pPr>
            <w:r>
              <w:rPr>
                <w:sz w:val="17"/>
              </w:rPr>
              <w:t>BAC</w:t>
            </w:r>
          </w:p>
        </w:tc>
        <w:tc>
          <w:tcPr>
            <w:tcW w:type="dxa" w:w="8640"/>
            <w:vAlign w:val="center"/>
            <w:tcMar>
              <w:top w:w="110" w:type="dxa"/>
              <w:start w:w="130" w:type="dxa"/>
              <w:bottom w:w="110" w:type="dxa"/>
              <w:end w:w="130" w:type="dxa"/>
            </w:tcMar>
          </w:tcPr>
          <w:p>
            <w:pPr>
              <w:spacing w:after="0" w:line="252" w:lineRule="auto"/>
            </w:pPr>
            <w:r>
              <w:rPr>
                <w:sz w:val="17"/>
              </w:rPr>
              <w:t>Budget at completion, the approved total performance-measurement budget</w:t>
            </w:r>
          </w:p>
        </w:tc>
      </w:tr>
      <w:tr>
        <w:tc>
          <w:tcPr>
            <w:tcW w:type="dxa" w:w="2160"/>
            <w:vAlign w:val="center"/>
            <w:shd w:fill="F5F5F3"/>
            <w:tcMar>
              <w:top w:w="110" w:type="dxa"/>
              <w:start w:w="130" w:type="dxa"/>
              <w:bottom w:w="110" w:type="dxa"/>
              <w:end w:w="130" w:type="dxa"/>
            </w:tcMar>
          </w:tcPr>
          <w:p>
            <w:pPr>
              <w:spacing w:after="0" w:line="252" w:lineRule="auto"/>
            </w:pPr>
            <w:r>
              <w:rPr>
                <w:sz w:val="17"/>
              </w:rPr>
              <w:t>CCB</w:t>
            </w:r>
          </w:p>
        </w:tc>
        <w:tc>
          <w:tcPr>
            <w:tcW w:type="dxa" w:w="8640"/>
            <w:vAlign w:val="center"/>
            <w:shd w:fill="F5F5F3"/>
            <w:tcMar>
              <w:top w:w="110" w:type="dxa"/>
              <w:start w:w="130" w:type="dxa"/>
              <w:bottom w:w="110" w:type="dxa"/>
              <w:end w:w="130" w:type="dxa"/>
            </w:tcMar>
          </w:tcPr>
          <w:p>
            <w:pPr>
              <w:spacing w:after="0" w:line="252" w:lineRule="auto"/>
            </w:pPr>
            <w:r>
              <w:rPr>
                <w:sz w:val="17"/>
              </w:rPr>
              <w:t>Change Control Board, the authorized group that decides material changes</w:t>
            </w:r>
          </w:p>
        </w:tc>
      </w:tr>
      <w:tr>
        <w:tc>
          <w:tcPr>
            <w:tcW w:type="dxa" w:w="2160"/>
            <w:vAlign w:val="center"/>
            <w:tcMar>
              <w:top w:w="110" w:type="dxa"/>
              <w:start w:w="130" w:type="dxa"/>
              <w:bottom w:w="110" w:type="dxa"/>
              <w:end w:w="130" w:type="dxa"/>
            </w:tcMar>
          </w:tcPr>
          <w:p>
            <w:pPr>
              <w:spacing w:after="0" w:line="252" w:lineRule="auto"/>
            </w:pPr>
            <w:r>
              <w:rPr>
                <w:sz w:val="17"/>
              </w:rPr>
              <w:t>CPI</w:t>
            </w:r>
          </w:p>
        </w:tc>
        <w:tc>
          <w:tcPr>
            <w:tcW w:type="dxa" w:w="8640"/>
            <w:vAlign w:val="center"/>
            <w:tcMar>
              <w:top w:w="110" w:type="dxa"/>
              <w:start w:w="130" w:type="dxa"/>
              <w:bottom w:w="110" w:type="dxa"/>
              <w:end w:w="130" w:type="dxa"/>
            </w:tcMar>
          </w:tcPr>
          <w:p>
            <w:pPr>
              <w:spacing w:after="0" w:line="252" w:lineRule="auto"/>
            </w:pPr>
            <w:r>
              <w:rPr>
                <w:sz w:val="17"/>
              </w:rPr>
              <w:t>Cost Performance Index, earned value divided by actual cost</w:t>
            </w:r>
          </w:p>
        </w:tc>
      </w:tr>
      <w:tr>
        <w:tc>
          <w:tcPr>
            <w:tcW w:type="dxa" w:w="2160"/>
            <w:vAlign w:val="center"/>
            <w:shd w:fill="F5F5F3"/>
            <w:tcMar>
              <w:top w:w="110" w:type="dxa"/>
              <w:start w:w="130" w:type="dxa"/>
              <w:bottom w:w="110" w:type="dxa"/>
              <w:end w:w="130" w:type="dxa"/>
            </w:tcMar>
          </w:tcPr>
          <w:p>
            <w:pPr>
              <w:spacing w:after="0" w:line="252" w:lineRule="auto"/>
            </w:pPr>
            <w:r>
              <w:rPr>
                <w:sz w:val="17"/>
              </w:rPr>
              <w:t>EAC</w:t>
            </w:r>
          </w:p>
        </w:tc>
        <w:tc>
          <w:tcPr>
            <w:tcW w:type="dxa" w:w="8640"/>
            <w:vAlign w:val="center"/>
            <w:shd w:fill="F5F5F3"/>
            <w:tcMar>
              <w:top w:w="110" w:type="dxa"/>
              <w:start w:w="130" w:type="dxa"/>
              <w:bottom w:w="110" w:type="dxa"/>
              <w:end w:w="130" w:type="dxa"/>
            </w:tcMar>
          </w:tcPr>
          <w:p>
            <w:pPr>
              <w:spacing w:after="0" w:line="252" w:lineRule="auto"/>
            </w:pPr>
            <w:r>
              <w:rPr>
                <w:sz w:val="17"/>
              </w:rPr>
              <w:t>Estimate at completion, the forecast total cost</w:t>
            </w:r>
          </w:p>
        </w:tc>
      </w:tr>
      <w:tr>
        <w:tc>
          <w:tcPr>
            <w:tcW w:type="dxa" w:w="2160"/>
            <w:vAlign w:val="center"/>
            <w:tcMar>
              <w:top w:w="110" w:type="dxa"/>
              <w:start w:w="130" w:type="dxa"/>
              <w:bottom w:w="110" w:type="dxa"/>
              <w:end w:w="130" w:type="dxa"/>
            </w:tcMar>
          </w:tcPr>
          <w:p>
            <w:pPr>
              <w:spacing w:after="0" w:line="252" w:lineRule="auto"/>
            </w:pPr>
            <w:r>
              <w:rPr>
                <w:sz w:val="17"/>
              </w:rPr>
              <w:t>EVM</w:t>
            </w:r>
          </w:p>
        </w:tc>
        <w:tc>
          <w:tcPr>
            <w:tcW w:type="dxa" w:w="8640"/>
            <w:vAlign w:val="center"/>
            <w:tcMar>
              <w:top w:w="110" w:type="dxa"/>
              <w:start w:w="130" w:type="dxa"/>
              <w:bottom w:w="110" w:type="dxa"/>
              <w:end w:w="130" w:type="dxa"/>
            </w:tcMar>
          </w:tcPr>
          <w:p>
            <w:pPr>
              <w:spacing w:after="0" w:line="252" w:lineRule="auto"/>
            </w:pPr>
            <w:r>
              <w:rPr>
                <w:sz w:val="17"/>
              </w:rPr>
              <w:t>Earned Value Management, integrated measurement of scope, schedule and cost</w:t>
            </w:r>
          </w:p>
        </w:tc>
      </w:tr>
      <w:tr>
        <w:tc>
          <w:tcPr>
            <w:tcW w:type="dxa" w:w="2160"/>
            <w:vAlign w:val="center"/>
            <w:shd w:fill="F5F5F3"/>
            <w:tcMar>
              <w:top w:w="110" w:type="dxa"/>
              <w:start w:w="130" w:type="dxa"/>
              <w:bottom w:w="110" w:type="dxa"/>
              <w:end w:w="130" w:type="dxa"/>
            </w:tcMar>
          </w:tcPr>
          <w:p>
            <w:pPr>
              <w:spacing w:after="0" w:line="252" w:lineRule="auto"/>
            </w:pPr>
            <w:r>
              <w:rPr>
                <w:sz w:val="17"/>
              </w:rPr>
              <w:t>RACI</w:t>
            </w:r>
          </w:p>
        </w:tc>
        <w:tc>
          <w:tcPr>
            <w:tcW w:type="dxa" w:w="8640"/>
            <w:vAlign w:val="center"/>
            <w:shd w:fill="F5F5F3"/>
            <w:tcMar>
              <w:top w:w="110" w:type="dxa"/>
              <w:start w:w="130" w:type="dxa"/>
              <w:bottom w:w="110" w:type="dxa"/>
              <w:end w:w="130" w:type="dxa"/>
            </w:tcMar>
          </w:tcPr>
          <w:p>
            <w:pPr>
              <w:spacing w:after="0" w:line="252" w:lineRule="auto"/>
            </w:pPr>
            <w:r>
              <w:rPr>
                <w:sz w:val="17"/>
              </w:rPr>
              <w:t>Responsible, Accountable, Consulted and Informed role assignment</w:t>
            </w:r>
          </w:p>
        </w:tc>
      </w:tr>
      <w:tr>
        <w:tc>
          <w:tcPr>
            <w:tcW w:type="dxa" w:w="2160"/>
            <w:vAlign w:val="center"/>
            <w:tcMar>
              <w:top w:w="110" w:type="dxa"/>
              <w:start w:w="130" w:type="dxa"/>
              <w:bottom w:w="110" w:type="dxa"/>
              <w:end w:w="130" w:type="dxa"/>
            </w:tcMar>
          </w:tcPr>
          <w:p>
            <w:pPr>
              <w:spacing w:after="0" w:line="252" w:lineRule="auto"/>
            </w:pPr>
            <w:r>
              <w:rPr>
                <w:sz w:val="17"/>
              </w:rPr>
              <w:t>RAG</w:t>
            </w:r>
          </w:p>
        </w:tc>
        <w:tc>
          <w:tcPr>
            <w:tcW w:type="dxa" w:w="8640"/>
            <w:vAlign w:val="center"/>
            <w:tcMar>
              <w:top w:w="110" w:type="dxa"/>
              <w:start w:w="130" w:type="dxa"/>
              <w:bottom w:w="110" w:type="dxa"/>
              <w:end w:w="130" w:type="dxa"/>
            </w:tcMar>
          </w:tcPr>
          <w:p>
            <w:pPr>
              <w:spacing w:after="0" w:line="252" w:lineRule="auto"/>
            </w:pPr>
            <w:r>
              <w:rPr>
                <w:sz w:val="17"/>
              </w:rPr>
              <w:t>Red, amber and green or equivalent health classification</w:t>
            </w:r>
          </w:p>
        </w:tc>
      </w:tr>
      <w:tr>
        <w:tc>
          <w:tcPr>
            <w:tcW w:type="dxa" w:w="2160"/>
            <w:vAlign w:val="center"/>
            <w:shd w:fill="F5F5F3"/>
            <w:tcMar>
              <w:top w:w="110" w:type="dxa"/>
              <w:start w:w="130" w:type="dxa"/>
              <w:bottom w:w="110" w:type="dxa"/>
              <w:end w:w="130" w:type="dxa"/>
            </w:tcMar>
          </w:tcPr>
          <w:p>
            <w:pPr>
              <w:spacing w:after="0" w:line="252" w:lineRule="auto"/>
            </w:pPr>
            <w:r>
              <w:rPr>
                <w:sz w:val="17"/>
              </w:rPr>
              <w:t>SPI</w:t>
            </w:r>
          </w:p>
        </w:tc>
        <w:tc>
          <w:tcPr>
            <w:tcW w:type="dxa" w:w="8640"/>
            <w:vAlign w:val="center"/>
            <w:shd w:fill="F5F5F3"/>
            <w:tcMar>
              <w:top w:w="110" w:type="dxa"/>
              <w:start w:w="130" w:type="dxa"/>
              <w:bottom w:w="110" w:type="dxa"/>
              <w:end w:w="130" w:type="dxa"/>
            </w:tcMar>
          </w:tcPr>
          <w:p>
            <w:pPr>
              <w:spacing w:after="0" w:line="252" w:lineRule="auto"/>
            </w:pPr>
            <w:r>
              <w:rPr>
                <w:sz w:val="17"/>
              </w:rPr>
              <w:t>Schedule Performance Index, earned value divided by planned value</w:t>
            </w:r>
          </w:p>
        </w:tc>
      </w:tr>
      <w:tr>
        <w:tc>
          <w:tcPr>
            <w:tcW w:type="dxa" w:w="2160"/>
            <w:vAlign w:val="center"/>
            <w:tcMar>
              <w:top w:w="110" w:type="dxa"/>
              <w:start w:w="130" w:type="dxa"/>
              <w:bottom w:w="110" w:type="dxa"/>
              <w:end w:w="130" w:type="dxa"/>
            </w:tcMar>
          </w:tcPr>
          <w:p>
            <w:pPr>
              <w:spacing w:after="0" w:line="252" w:lineRule="auto"/>
            </w:pPr>
            <w:r>
              <w:rPr>
                <w:sz w:val="17"/>
              </w:rPr>
              <w:t>Tolerance</w:t>
            </w:r>
          </w:p>
        </w:tc>
        <w:tc>
          <w:tcPr>
            <w:tcW w:type="dxa" w:w="8640"/>
            <w:vAlign w:val="center"/>
            <w:tcMar>
              <w:top w:w="110" w:type="dxa"/>
              <w:start w:w="130" w:type="dxa"/>
              <w:bottom w:w="110" w:type="dxa"/>
              <w:end w:w="130" w:type="dxa"/>
            </w:tcMar>
          </w:tcPr>
          <w:p>
            <w:pPr>
              <w:spacing w:after="0" w:line="252" w:lineRule="auto"/>
            </w:pPr>
            <w:r>
              <w:rPr>
                <w:sz w:val="17"/>
              </w:rPr>
              <w:t>The approved variance range within which management may act without escalation</w:t>
            </w:r>
          </w:p>
        </w:tc>
      </w:tr>
      <w:tr>
        <w:tc>
          <w:tcPr>
            <w:tcW w:type="dxa" w:w="2160"/>
            <w:vAlign w:val="center"/>
            <w:shd w:fill="F5F5F3"/>
            <w:tcMar>
              <w:top w:w="110" w:type="dxa"/>
              <w:start w:w="130" w:type="dxa"/>
              <w:bottom w:w="110" w:type="dxa"/>
              <w:end w:w="130" w:type="dxa"/>
            </w:tcMar>
          </w:tcPr>
          <w:p>
            <w:pPr>
              <w:spacing w:after="0" w:line="252" w:lineRule="auto"/>
            </w:pPr>
            <w:r>
              <w:rPr>
                <w:sz w:val="17"/>
              </w:rPr>
              <w:t>WIP</w:t>
            </w:r>
          </w:p>
        </w:tc>
        <w:tc>
          <w:tcPr>
            <w:tcW w:type="dxa" w:w="8640"/>
            <w:vAlign w:val="center"/>
            <w:shd w:fill="F5F5F3"/>
            <w:tcMar>
              <w:top w:w="110" w:type="dxa"/>
              <w:start w:w="130" w:type="dxa"/>
              <w:bottom w:w="110" w:type="dxa"/>
              <w:end w:w="130" w:type="dxa"/>
            </w:tcMar>
          </w:tcPr>
          <w:p>
            <w:pPr>
              <w:spacing w:after="0" w:line="252" w:lineRule="auto"/>
            </w:pPr>
            <w:r>
              <w:rPr>
                <w:sz w:val="17"/>
              </w:rPr>
              <w:t>Work in progress, the number of started items not yet completed</w:t>
            </w:r>
          </w:p>
        </w:tc>
      </w:tr>
      <w:tr>
        <w:tc>
          <w:tcPr>
            <w:tcW w:type="dxa" w:w="2160"/>
            <w:vAlign w:val="center"/>
            <w:tcMar>
              <w:top w:w="110" w:type="dxa"/>
              <w:start w:w="130" w:type="dxa"/>
              <w:bottom w:w="110" w:type="dxa"/>
              <w:end w:w="130" w:type="dxa"/>
            </w:tcMar>
          </w:tcPr>
          <w:p>
            <w:pPr>
              <w:spacing w:after="0" w:line="252" w:lineRule="auto"/>
            </w:pPr>
            <w:r>
              <w:rPr>
                <w:sz w:val="17"/>
              </w:rPr>
              <w:t>WBS</w:t>
            </w:r>
          </w:p>
        </w:tc>
        <w:tc>
          <w:tcPr>
            <w:tcW w:type="dxa" w:w="8640"/>
            <w:vAlign w:val="center"/>
            <w:tcMar>
              <w:top w:w="110" w:type="dxa"/>
              <w:start w:w="130" w:type="dxa"/>
              <w:bottom w:w="110" w:type="dxa"/>
              <w:end w:w="130" w:type="dxa"/>
            </w:tcMar>
          </w:tcPr>
          <w:p>
            <w:pPr>
              <w:spacing w:after="0" w:line="252" w:lineRule="auto"/>
            </w:pPr>
            <w:r>
              <w:rPr>
                <w:sz w:val="17"/>
              </w:rPr>
              <w:t>Work Breakdown Structure, the hierarchical decomposition of total project scope</w:t>
            </w:r>
          </w:p>
        </w:tc>
      </w:tr>
    </w:tbl>
    <w:p>
      <w:pPr>
        <w:spacing w:after="20"/>
      </w:pP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t>ArkHimar PM  |  ArkHimar PM Project Manager Handbook  |  Private beta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ArkHimar PM Project Manager Handbook</dc:title>
  <dc:subject>ArkHimar PM Project Manager Handbook</dc:subject>
  <dc:creator>ArkHimar Consult</dc:creator>
  <cp:keywords>ArkHimar PM, project management, governance, user guide</cp:keywords>
  <dc:description>Prepared for ArkHimar PM users</dc:description>
  <cp:lastModifiedBy/>
  <cp:revision>1</cp:revision>
  <dcterms:created xsi:type="dcterms:W3CDTF">2013-12-23T23:15:00Z</dcterms:created>
  <dcterms:modified xsi:type="dcterms:W3CDTF">2013-12-23T23:15:00Z</dcterms:modified>
  <cp:category/>
</cp:coreProperties>
</file>