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ArkHimar PM Sponsor Handbook</w:t>
      </w:r>
    </w:p>
    <w:p>
      <w:pPr>
        <w:pStyle w:val="Subtitle"/>
      </w:pPr>
      <w:r>
        <w:t>How to authorize direct and govern projects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8208"/>
      </w:tblGrid>
      <w:tr>
        <w:tc>
          <w:tcPr>
            <w:tcW w:type="dxa" w:w="4939"/>
            <w:shd w:fill="EDF3F7"/>
            <w:vAlign w:val="center"/>
            <w:tcMar>
              <w:top w:w="110" w:type="dxa"/>
              <w:start w:w="130" w:type="dxa"/>
              <w:bottom w:w="110" w:type="dxa"/>
              <w:end w:w="130" w:type="dxa"/>
            </w:tcMar>
          </w:tcPr>
          <w:p>
            <w:r>
              <w:rPr>
                <w:b/>
              </w:rPr>
              <w:t>Audience</w:t>
            </w:r>
          </w:p>
        </w:tc>
        <w:tc>
          <w:tcPr>
            <w:tcW w:type="dxa" w:w="4939"/>
            <w:vAlign w:val="center"/>
            <w:tcMar>
              <w:top w:w="110" w:type="dxa"/>
              <w:start w:w="130" w:type="dxa"/>
              <w:bottom w:w="110" w:type="dxa"/>
              <w:end w:w="130" w:type="dxa"/>
            </w:tcMar>
          </w:tcPr>
          <w:p>
            <w:r>
              <w:t>Executive sponsors, investment owners, steering committee members and senior accountable owners</w:t>
            </w:r>
          </w:p>
        </w:tc>
      </w:tr>
      <w:tr>
        <w:tc>
          <w:tcPr>
            <w:tcW w:type="dxa" w:w="4939"/>
            <w:shd w:fill="EDF3F7"/>
            <w:vAlign w:val="center"/>
            <w:tcMar>
              <w:top w:w="110" w:type="dxa"/>
              <w:start w:w="130" w:type="dxa"/>
              <w:bottom w:w="110" w:type="dxa"/>
              <w:end w:w="130" w:type="dxa"/>
            </w:tcMar>
          </w:tcPr>
          <w:p>
            <w:r>
              <w:rPr>
                <w:b/>
              </w:rPr>
              <w:t>Release basis</w:t>
            </w:r>
          </w:p>
        </w:tc>
        <w:tc>
          <w:tcPr>
            <w:tcW w:type="dxa" w:w="4939"/>
            <w:vAlign w:val="center"/>
            <w:tcMar>
              <w:top w:w="110" w:type="dxa"/>
              <w:start w:w="130" w:type="dxa"/>
              <w:bottom w:w="110" w:type="dxa"/>
              <w:end w:w="130" w:type="dxa"/>
            </w:tcMar>
          </w:tcPr>
          <w:p>
            <w:r>
              <w:t>ArkHimar PM private beta and implementation phases 0 through 8</w:t>
            </w:r>
          </w:p>
        </w:tc>
      </w:tr>
      <w:tr>
        <w:tc>
          <w:tcPr>
            <w:tcW w:type="dxa" w:w="4939"/>
            <w:shd w:fill="EDF3F7"/>
            <w:vAlign w:val="center"/>
            <w:tcMar>
              <w:top w:w="110" w:type="dxa"/>
              <w:start w:w="130" w:type="dxa"/>
              <w:bottom w:w="110" w:type="dxa"/>
              <w:end w:w="130" w:type="dxa"/>
            </w:tcMar>
          </w:tcPr>
          <w:p>
            <w:r>
              <w:rPr>
                <w:b/>
              </w:rPr>
              <w:t>Document date</w:t>
            </w:r>
          </w:p>
        </w:tc>
        <w:tc>
          <w:tcPr>
            <w:tcW w:type="dxa" w:w="4939"/>
            <w:vAlign w:val="center"/>
            <w:tcMar>
              <w:top w:w="110" w:type="dxa"/>
              <w:start w:w="130" w:type="dxa"/>
              <w:bottom w:w="110" w:type="dxa"/>
              <w:end w:w="130" w:type="dxa"/>
            </w:tcMar>
          </w:tcPr>
          <w:p>
            <w:r>
              <w:t>9 September 2026</w:t>
            </w:r>
          </w:p>
        </w:tc>
      </w:tr>
    </w:tbl>
    <w:p/>
    <w:p>
      <w:pPr>
        <w:keepLines/>
      </w:pPr>
      <w:r>
        <w:t>This handbook explains how a sponsor uses ArkHimar PM to authorize a project, set decision boundaries, review performance and protect the intended business outcome. It assumes no prior project-management training.</w:t>
      </w:r>
    </w:p>
    <w:p>
      <w:pPr>
        <w:keepLines/>
      </w:pPr>
      <w:r>
        <w:t>The sponsor owns the business need, continued justification and senior decisions. The project manager organizes and controls delivery. A sponsor should not run the daily plan, but must remain available when authority, funding, priorities or organizational support are required.</w:t>
      </w:r>
    </w:p>
    <w:p>
      <w:pPr>
        <w:pStyle w:val="Heading1"/>
        <w:keepNext/>
      </w:pPr>
      <w:r>
        <w:t>Sponsor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880"/>
            <w:shd w:fill="17324D"/>
            <w:vAlign w:val="center"/>
            <w:tcMar>
              <w:top w:w="110" w:type="dxa"/>
              <w:start w:w="130" w:type="dxa"/>
              <w:bottom w:w="110" w:type="dxa"/>
              <w:end w:w="130" w:type="dxa"/>
            </w:tcMar>
          </w:tcPr>
          <w:p>
            <w:r>
              <w:rPr>
                <w:b/>
                <w:color w:val="FFFFFF"/>
                <w:sz w:val="18"/>
              </w:rPr>
              <w:t>Responsibility</w:t>
            </w:r>
          </w:p>
        </w:tc>
        <w:tc>
          <w:tcPr>
            <w:tcW w:type="dxa" w:w="7920"/>
            <w:shd w:fill="17324D"/>
            <w:vAlign w:val="center"/>
            <w:tcMar>
              <w:top w:w="110" w:type="dxa"/>
              <w:start w:w="130" w:type="dxa"/>
              <w:bottom w:w="110" w:type="dxa"/>
              <w:end w:w="130" w:type="dxa"/>
            </w:tcMar>
          </w:tcPr>
          <w:p>
            <w:r>
              <w:rPr>
                <w:b/>
                <w:color w:val="FFFFFF"/>
                <w:sz w:val="18"/>
              </w:rPr>
              <w:t>What good sponsorship looks like</w:t>
            </w:r>
          </w:p>
        </w:tc>
      </w:tr>
      <w:tr>
        <w:tc>
          <w:tcPr>
            <w:tcW w:type="dxa" w:w="2880"/>
            <w:vAlign w:val="center"/>
            <w:tcMar>
              <w:top w:w="110" w:type="dxa"/>
              <w:start w:w="130" w:type="dxa"/>
              <w:bottom w:w="110" w:type="dxa"/>
              <w:end w:w="130" w:type="dxa"/>
            </w:tcMar>
          </w:tcPr>
          <w:p>
            <w:pPr>
              <w:spacing w:after="0" w:line="252" w:lineRule="auto"/>
            </w:pPr>
            <w:r>
              <w:rPr>
                <w:sz w:val="17"/>
              </w:rPr>
              <w:t>Own the outcome</w:t>
            </w:r>
          </w:p>
        </w:tc>
        <w:tc>
          <w:tcPr>
            <w:tcW w:type="dxa" w:w="7920"/>
            <w:vAlign w:val="center"/>
            <w:tcMar>
              <w:top w:w="110" w:type="dxa"/>
              <w:start w:w="130" w:type="dxa"/>
              <w:bottom w:w="110" w:type="dxa"/>
              <w:end w:w="130" w:type="dxa"/>
            </w:tcMar>
          </w:tcPr>
          <w:p>
            <w:pPr>
              <w:spacing w:after="0" w:line="252" w:lineRule="auto"/>
            </w:pPr>
            <w:r>
              <w:rPr>
                <w:sz w:val="17"/>
              </w:rPr>
              <w:t>Confirm that the problem, outcome, benefits and success measures remain relevant</w:t>
            </w:r>
          </w:p>
        </w:tc>
      </w:tr>
      <w:tr>
        <w:tc>
          <w:tcPr>
            <w:tcW w:type="dxa" w:w="2880"/>
            <w:vAlign w:val="center"/>
            <w:shd w:fill="F5F5F3"/>
            <w:tcMar>
              <w:top w:w="110" w:type="dxa"/>
              <w:start w:w="130" w:type="dxa"/>
              <w:bottom w:w="110" w:type="dxa"/>
              <w:end w:w="130" w:type="dxa"/>
            </w:tcMar>
          </w:tcPr>
          <w:p>
            <w:pPr>
              <w:spacing w:after="0" w:line="252" w:lineRule="auto"/>
            </w:pPr>
            <w:r>
              <w:rPr>
                <w:sz w:val="17"/>
              </w:rPr>
              <w:t>Authorize the project</w:t>
            </w:r>
          </w:p>
        </w:tc>
        <w:tc>
          <w:tcPr>
            <w:tcW w:type="dxa" w:w="7920"/>
            <w:vAlign w:val="center"/>
            <w:shd w:fill="F5F5F3"/>
            <w:tcMar>
              <w:top w:w="110" w:type="dxa"/>
              <w:start w:w="130" w:type="dxa"/>
              <w:bottom w:w="110" w:type="dxa"/>
              <w:end w:w="130" w:type="dxa"/>
            </w:tcMar>
          </w:tcPr>
          <w:p>
            <w:pPr>
              <w:spacing w:after="0" w:line="252" w:lineRule="auto"/>
            </w:pPr>
            <w:r>
              <w:rPr>
                <w:sz w:val="17"/>
              </w:rPr>
              <w:t>Approve a credible business case and charter with clear authority and boundaries</w:t>
            </w:r>
          </w:p>
        </w:tc>
      </w:tr>
      <w:tr>
        <w:tc>
          <w:tcPr>
            <w:tcW w:type="dxa" w:w="2880"/>
            <w:vAlign w:val="center"/>
            <w:tcMar>
              <w:top w:w="110" w:type="dxa"/>
              <w:start w:w="130" w:type="dxa"/>
              <w:bottom w:w="110" w:type="dxa"/>
              <w:end w:w="130" w:type="dxa"/>
            </w:tcMar>
          </w:tcPr>
          <w:p>
            <w:pPr>
              <w:spacing w:after="0" w:line="252" w:lineRule="auto"/>
            </w:pPr>
            <w:r>
              <w:rPr>
                <w:sz w:val="17"/>
              </w:rPr>
              <w:t>Provide decisions</w:t>
            </w:r>
          </w:p>
        </w:tc>
        <w:tc>
          <w:tcPr>
            <w:tcW w:type="dxa" w:w="7920"/>
            <w:vAlign w:val="center"/>
            <w:tcMar>
              <w:top w:w="110" w:type="dxa"/>
              <w:start w:w="130" w:type="dxa"/>
              <w:bottom w:w="110" w:type="dxa"/>
              <w:end w:w="130" w:type="dxa"/>
            </w:tcMar>
          </w:tcPr>
          <w:p>
            <w:pPr>
              <w:spacing w:after="0" w:line="252" w:lineRule="auto"/>
            </w:pPr>
            <w:r>
              <w:rPr>
                <w:sz w:val="17"/>
              </w:rPr>
              <w:t>Decide material changes and governance reviews before delay removes useful options</w:t>
            </w:r>
          </w:p>
        </w:tc>
      </w:tr>
      <w:tr>
        <w:tc>
          <w:tcPr>
            <w:tcW w:type="dxa" w:w="2880"/>
            <w:vAlign w:val="center"/>
            <w:shd w:fill="F5F5F3"/>
            <w:tcMar>
              <w:top w:w="110" w:type="dxa"/>
              <w:start w:w="130" w:type="dxa"/>
              <w:bottom w:w="110" w:type="dxa"/>
              <w:end w:w="130" w:type="dxa"/>
            </w:tcMar>
          </w:tcPr>
          <w:p>
            <w:pPr>
              <w:spacing w:after="0" w:line="252" w:lineRule="auto"/>
            </w:pPr>
            <w:r>
              <w:rPr>
                <w:sz w:val="17"/>
              </w:rPr>
              <w:t>Secure support</w:t>
            </w:r>
          </w:p>
        </w:tc>
        <w:tc>
          <w:tcPr>
            <w:tcW w:type="dxa" w:w="7920"/>
            <w:vAlign w:val="center"/>
            <w:shd w:fill="F5F5F3"/>
            <w:tcMar>
              <w:top w:w="110" w:type="dxa"/>
              <w:start w:w="130" w:type="dxa"/>
              <w:bottom w:w="110" w:type="dxa"/>
              <w:end w:w="130" w:type="dxa"/>
            </w:tcMar>
          </w:tcPr>
          <w:p>
            <w:pPr>
              <w:spacing w:after="0" w:line="252" w:lineRule="auto"/>
            </w:pPr>
            <w:r>
              <w:rPr>
                <w:sz w:val="17"/>
              </w:rPr>
              <w:t>Resolve cross-functional priorities, funding and senior stakeholder barriers</w:t>
            </w:r>
          </w:p>
        </w:tc>
      </w:tr>
      <w:tr>
        <w:tc>
          <w:tcPr>
            <w:tcW w:type="dxa" w:w="2880"/>
            <w:vAlign w:val="center"/>
            <w:tcMar>
              <w:top w:w="110" w:type="dxa"/>
              <w:start w:w="130" w:type="dxa"/>
              <w:bottom w:w="110" w:type="dxa"/>
              <w:end w:w="130" w:type="dxa"/>
            </w:tcMar>
          </w:tcPr>
          <w:p>
            <w:pPr>
              <w:spacing w:after="0" w:line="252" w:lineRule="auto"/>
            </w:pPr>
            <w:r>
              <w:rPr>
                <w:sz w:val="17"/>
              </w:rPr>
              <w:t>Protect integrity</w:t>
            </w:r>
          </w:p>
        </w:tc>
        <w:tc>
          <w:tcPr>
            <w:tcW w:type="dxa" w:w="7920"/>
            <w:vAlign w:val="center"/>
            <w:tcMar>
              <w:top w:w="110" w:type="dxa"/>
              <w:start w:w="130" w:type="dxa"/>
              <w:bottom w:w="110" w:type="dxa"/>
              <w:end w:w="130" w:type="dxa"/>
            </w:tcMar>
          </w:tcPr>
          <w:p>
            <w:pPr>
              <w:spacing w:after="0" w:line="252" w:lineRule="auto"/>
            </w:pPr>
            <w:r>
              <w:rPr>
                <w:sz w:val="17"/>
              </w:rPr>
              <w:t>Require accurate reporting, evidence and immutable decision history</w:t>
            </w:r>
          </w:p>
        </w:tc>
      </w:tr>
      <w:tr>
        <w:tc>
          <w:tcPr>
            <w:tcW w:type="dxa" w:w="2880"/>
            <w:vAlign w:val="center"/>
            <w:shd w:fill="F5F5F3"/>
            <w:tcMar>
              <w:top w:w="110" w:type="dxa"/>
              <w:start w:w="130" w:type="dxa"/>
              <w:bottom w:w="110" w:type="dxa"/>
              <w:end w:w="130" w:type="dxa"/>
            </w:tcMar>
          </w:tcPr>
          <w:p>
            <w:pPr>
              <w:spacing w:after="0" w:line="252" w:lineRule="auto"/>
            </w:pPr>
            <w:r>
              <w:rPr>
                <w:sz w:val="17"/>
              </w:rPr>
              <w:t>Confirm closure and benefits</w:t>
            </w:r>
          </w:p>
        </w:tc>
        <w:tc>
          <w:tcPr>
            <w:tcW w:type="dxa" w:w="7920"/>
            <w:vAlign w:val="center"/>
            <w:shd w:fill="F5F5F3"/>
            <w:tcMar>
              <w:top w:w="110" w:type="dxa"/>
              <w:start w:w="130" w:type="dxa"/>
              <w:bottom w:w="110" w:type="dxa"/>
              <w:end w:w="130" w:type="dxa"/>
            </w:tcMar>
          </w:tcPr>
          <w:p>
            <w:pPr>
              <w:spacing w:after="0" w:line="252" w:lineRule="auto"/>
            </w:pPr>
            <w:r>
              <w:rPr>
                <w:sz w:val="17"/>
              </w:rPr>
              <w:t>Accept the delivered outcome and ensure benefits ownership continues after project closure</w:t>
            </w:r>
          </w:p>
        </w:tc>
      </w:tr>
    </w:tbl>
    <w:p>
      <w:pPr>
        <w:spacing w:after="20"/>
      </w:pPr>
    </w:p>
    <w:p>
      <w:pPr>
        <w:pStyle w:val="Heading1"/>
        <w:keepNext/>
      </w:pPr>
      <w:r>
        <w:t>Access the platform safely</w:t>
      </w:r>
    </w:p>
    <w:p>
      <w:pPr>
        <w:pStyle w:val="ListBullet"/>
        <w:spacing w:after="60"/>
        <w:keepLines/>
      </w:pPr>
      <w:r>
        <w:t>Accept only an invitation sent to your authorized email address.</w:t>
      </w:r>
    </w:p>
    <w:p>
      <w:pPr>
        <w:pStyle w:val="ListBullet"/>
        <w:spacing w:after="60"/>
        <w:keepLines/>
      </w:pPr>
      <w:r>
        <w:t>Use your own account. Do not approve through another person's session.</w:t>
      </w:r>
    </w:p>
    <w:p>
      <w:pPr>
        <w:pStyle w:val="ListBullet"/>
        <w:spacing w:after="60"/>
        <w:keepLines/>
      </w:pPr>
      <w:r>
        <w:t>Enroll an authenticator when required and review account sessions periodically.</w:t>
      </w:r>
    </w:p>
    <w:p>
      <w:pPr>
        <w:pStyle w:val="ListBullet"/>
        <w:spacing w:after="60"/>
        <w:keepLines/>
      </w:pPr>
      <w:r>
        <w:t>Treat project classification seriously. Do not forward controlled exports or external-share links without authorization.</w:t>
      </w:r>
    </w:p>
    <w:p>
      <w:pPr>
        <w:pStyle w:val="ListBullet"/>
        <w:spacing w:after="60"/>
        <w:keepLines/>
      </w:pPr>
      <w:r>
        <w:t>Your ability to approve depends on your workspace role. Owner and admin roles hold the current high-authority decision permissions.</w:t>
      </w:r>
    </w:p>
    <w:p>
      <w:pPr>
        <w:pStyle w:val="Heading1"/>
        <w:keepNext/>
      </w:pPr>
      <w:r>
        <w:t>Review the business case</w:t>
      </w:r>
    </w:p>
    <w:p>
      <w:pPr>
        <w:keepLines/>
      </w:pPr>
      <w:r>
        <w:t>Open Business Case and review the submitted version. The decision is whether the proposed investment remains the best available response to the business need, not whether the document is attractively written.</w:t>
      </w:r>
    </w:p>
    <w:p>
      <w:pPr>
        <w:pStyle w:val="ListBullet"/>
        <w:spacing w:after="60"/>
        <w:keepLines/>
      </w:pPr>
      <w:r>
        <w:t>Confirm the problem or opportunity is evidenced and material.</w:t>
      </w:r>
    </w:p>
    <w:p>
      <w:pPr>
        <w:pStyle w:val="ListBullet"/>
        <w:spacing w:after="60"/>
        <w:keepLines/>
      </w:pPr>
      <w:r>
        <w:t>Check that strategic alignment and intended benefits name observable outcomes.</w:t>
      </w:r>
    </w:p>
    <w:p>
      <w:pPr>
        <w:pStyle w:val="ListBullet"/>
        <w:spacing w:after="60"/>
        <w:keepLines/>
      </w:pPr>
      <w:r>
        <w:t>Compare the options, including affordability, delivery feasibility, risk and a credible alternative to immediate investment.</w:t>
      </w:r>
    </w:p>
    <w:p>
      <w:pPr>
        <w:pStyle w:val="ListBullet"/>
        <w:spacing w:after="60"/>
        <w:keepLines/>
      </w:pPr>
      <w:r>
        <w:t>Challenge cost, benefit, discount-rate and cash-flow assumptions. ROI, NPV and payback are only as reliable as their inputs.</w:t>
      </w:r>
    </w:p>
    <w:p>
      <w:pPr>
        <w:pStyle w:val="ListBullet"/>
        <w:spacing w:after="60"/>
        <w:keepLines/>
      </w:pPr>
      <w:r>
        <w:t>Check dependencies, constraints, sustainability impacts and major risks.</w:t>
      </w:r>
    </w:p>
    <w:p>
      <w:pPr>
        <w:pStyle w:val="ListBullet"/>
        <w:spacing w:after="60"/>
        <w:keepLines/>
      </w:pPr>
      <w:r>
        <w:t>Approve when the recommended option is justified. Request changes when evidence or assumptions are inadequate. Record comments clearly enough for the team to act.</w:t>
      </w:r>
    </w:p>
    <w:p>
      <w:pPr>
        <w:pStyle w:val="Heading1"/>
        <w:keepNext/>
      </w:pPr>
      <w:r>
        <w:t>Review the charter</w:t>
      </w:r>
    </w:p>
    <w:p>
      <w:pPr>
        <w:pStyle w:val="ListBullet"/>
        <w:spacing w:after="60"/>
        <w:keepLines/>
      </w:pPr>
      <w:r>
        <w:t>Confirm the purpose and objectives match the approved business case.</w:t>
      </w:r>
    </w:p>
    <w:p>
      <w:pPr>
        <w:pStyle w:val="ListBullet"/>
        <w:spacing w:after="60"/>
        <w:keepLines/>
      </w:pPr>
      <w:r>
        <w:t>Check that success criteria are measurable and owned.</w:t>
      </w:r>
    </w:p>
    <w:p>
      <w:pPr>
        <w:pStyle w:val="ListBullet"/>
        <w:spacing w:after="60"/>
        <w:keepLines/>
      </w:pPr>
      <w:r>
        <w:t>Review scope, exclusions, deliverables, major milestones and budget.</w:t>
      </w:r>
    </w:p>
    <w:p>
      <w:pPr>
        <w:pStyle w:val="ListBullet"/>
        <w:spacing w:after="60"/>
        <w:keepLines/>
      </w:pPr>
      <w:r>
        <w:t>Confirm the named project manager has sufficient authority and knows the escalation thresholds.</w:t>
      </w:r>
    </w:p>
    <w:p>
      <w:pPr>
        <w:pStyle w:val="ListBullet"/>
        <w:spacing w:after="60"/>
        <w:keepLines/>
      </w:pPr>
      <w:r>
        <w:t>Confirm approval roles, exit criteria and sponsor responsibilities.</w:t>
      </w:r>
    </w:p>
    <w:p>
      <w:pPr>
        <w:pStyle w:val="ListBullet"/>
        <w:spacing w:after="60"/>
        <w:keepLines/>
      </w:pPr>
      <w:r>
        <w:t>Approve the submitted version only when the organization is ready to commit. An approved version is immutable; later changes require a revision.</w:t>
      </w:r>
    </w:p>
    <w:p>
      <w:pPr>
        <w:pStyle w:val="Heading1"/>
        <w:keepNext/>
      </w:pPr>
      <w:r>
        <w:t>Understand baselines and change control</w:t>
      </w:r>
    </w:p>
    <w:p>
      <w:pPr>
        <w:keepLines/>
      </w:pPr>
      <w:r>
        <w:t>A baseline is the approved reference for scope, schedule or cost. It creates accountability because current forecasts can be compared with the commitment. Do not ask the project manager to rewrite a baseline merely to make performance appear favorable.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304"/>
            <w:shd w:fill="17324D"/>
            <w:vAlign w:val="center"/>
            <w:tcMar>
              <w:top w:w="110" w:type="dxa"/>
              <w:start w:w="130" w:type="dxa"/>
              <w:bottom w:w="110" w:type="dxa"/>
              <w:end w:w="130" w:type="dxa"/>
            </w:tcMar>
          </w:tcPr>
          <w:p>
            <w:r>
              <w:rPr>
                <w:b/>
                <w:color w:val="FFFFFF"/>
                <w:sz w:val="18"/>
              </w:rPr>
              <w:t>Decision</w:t>
            </w:r>
          </w:p>
        </w:tc>
        <w:tc>
          <w:tcPr>
            <w:tcW w:type="dxa" w:w="8496"/>
            <w:shd w:fill="17324D"/>
            <w:vAlign w:val="center"/>
            <w:tcMar>
              <w:top w:w="110" w:type="dxa"/>
              <w:start w:w="130" w:type="dxa"/>
              <w:bottom w:w="110" w:type="dxa"/>
              <w:end w:w="130" w:type="dxa"/>
            </w:tcMar>
          </w:tcPr>
          <w:p>
            <w:r>
              <w:rPr>
                <w:b/>
                <w:color w:val="FFFFFF"/>
                <w:sz w:val="18"/>
              </w:rPr>
              <w:t>Sponsor questions</w:t>
            </w:r>
          </w:p>
        </w:tc>
      </w:tr>
      <w:tr>
        <w:tc>
          <w:tcPr>
            <w:tcW w:type="dxa" w:w="2304"/>
            <w:vAlign w:val="center"/>
            <w:tcMar>
              <w:top w:w="110" w:type="dxa"/>
              <w:start w:w="130" w:type="dxa"/>
              <w:bottom w:w="110" w:type="dxa"/>
              <w:end w:w="130" w:type="dxa"/>
            </w:tcMar>
          </w:tcPr>
          <w:p>
            <w:pPr>
              <w:spacing w:after="0" w:line="252" w:lineRule="auto"/>
            </w:pPr>
            <w:r>
              <w:rPr>
                <w:sz w:val="17"/>
              </w:rPr>
              <w:t>Scope baseline</w:t>
            </w:r>
          </w:p>
        </w:tc>
        <w:tc>
          <w:tcPr>
            <w:tcW w:type="dxa" w:w="8496"/>
            <w:vAlign w:val="center"/>
            <w:tcMar>
              <w:top w:w="110" w:type="dxa"/>
              <w:start w:w="130" w:type="dxa"/>
              <w:bottom w:w="110" w:type="dxa"/>
              <w:end w:w="130" w:type="dxa"/>
            </w:tcMar>
          </w:tcPr>
          <w:p>
            <w:pPr>
              <w:spacing w:after="0" w:line="252" w:lineRule="auto"/>
            </w:pPr>
            <w:r>
              <w:rPr>
                <w:sz w:val="17"/>
              </w:rPr>
              <w:t>Is the required outcome complete, testable and free from material ambiguity?</w:t>
            </w:r>
          </w:p>
        </w:tc>
      </w:tr>
      <w:tr>
        <w:tc>
          <w:tcPr>
            <w:tcW w:type="dxa" w:w="2304"/>
            <w:vAlign w:val="center"/>
            <w:shd w:fill="F5F5F3"/>
            <w:tcMar>
              <w:top w:w="110" w:type="dxa"/>
              <w:start w:w="130" w:type="dxa"/>
              <w:bottom w:w="110" w:type="dxa"/>
              <w:end w:w="130" w:type="dxa"/>
            </w:tcMar>
          </w:tcPr>
          <w:p>
            <w:pPr>
              <w:spacing w:after="0" w:line="252" w:lineRule="auto"/>
            </w:pPr>
            <w:r>
              <w:rPr>
                <w:sz w:val="17"/>
              </w:rPr>
              <w:t>Schedule baseline</w:t>
            </w:r>
          </w:p>
        </w:tc>
        <w:tc>
          <w:tcPr>
            <w:tcW w:type="dxa" w:w="8496"/>
            <w:vAlign w:val="center"/>
            <w:shd w:fill="F5F5F3"/>
            <w:tcMar>
              <w:top w:w="110" w:type="dxa"/>
              <w:start w:w="130" w:type="dxa"/>
              <w:bottom w:w="110" w:type="dxa"/>
              <w:end w:w="130" w:type="dxa"/>
            </w:tcMar>
          </w:tcPr>
          <w:p>
            <w:pPr>
              <w:spacing w:after="0" w:line="252" w:lineRule="auto"/>
            </w:pPr>
            <w:r>
              <w:rPr>
                <w:sz w:val="17"/>
              </w:rPr>
              <w:t>Is the logic credible, are critical milestones achievable, and are key dependencies owned?</w:t>
            </w:r>
          </w:p>
        </w:tc>
      </w:tr>
      <w:tr>
        <w:tc>
          <w:tcPr>
            <w:tcW w:type="dxa" w:w="2304"/>
            <w:vAlign w:val="center"/>
            <w:tcMar>
              <w:top w:w="110" w:type="dxa"/>
              <w:start w:w="130" w:type="dxa"/>
              <w:bottom w:w="110" w:type="dxa"/>
              <w:end w:w="130" w:type="dxa"/>
            </w:tcMar>
          </w:tcPr>
          <w:p>
            <w:pPr>
              <w:spacing w:after="0" w:line="252" w:lineRule="auto"/>
            </w:pPr>
            <w:r>
              <w:rPr>
                <w:sz w:val="17"/>
              </w:rPr>
              <w:t>Cost baseline</w:t>
            </w:r>
          </w:p>
        </w:tc>
        <w:tc>
          <w:tcPr>
            <w:tcW w:type="dxa" w:w="8496"/>
            <w:vAlign w:val="center"/>
            <w:tcMar>
              <w:top w:w="110" w:type="dxa"/>
              <w:start w:w="130" w:type="dxa"/>
              <w:bottom w:w="110" w:type="dxa"/>
              <w:end w:w="130" w:type="dxa"/>
            </w:tcMar>
          </w:tcPr>
          <w:p>
            <w:pPr>
              <w:spacing w:after="0" w:line="252" w:lineRule="auto"/>
            </w:pPr>
            <w:r>
              <w:rPr>
                <w:sz w:val="17"/>
              </w:rPr>
              <w:t>Does funding cover authorized scope, realistic estimates and appropriate reserves?</w:t>
            </w:r>
          </w:p>
        </w:tc>
      </w:tr>
      <w:tr>
        <w:tc>
          <w:tcPr>
            <w:tcW w:type="dxa" w:w="2304"/>
            <w:vAlign w:val="center"/>
            <w:shd w:fill="F5F5F3"/>
            <w:tcMar>
              <w:top w:w="110" w:type="dxa"/>
              <w:start w:w="130" w:type="dxa"/>
              <w:bottom w:w="110" w:type="dxa"/>
              <w:end w:w="130" w:type="dxa"/>
            </w:tcMar>
          </w:tcPr>
          <w:p>
            <w:pPr>
              <w:spacing w:after="0" w:line="252" w:lineRule="auto"/>
            </w:pPr>
            <w:r>
              <w:rPr>
                <w:sz w:val="17"/>
              </w:rPr>
              <w:t>Change request</w:t>
            </w:r>
          </w:p>
        </w:tc>
        <w:tc>
          <w:tcPr>
            <w:tcW w:type="dxa" w:w="8496"/>
            <w:vAlign w:val="center"/>
            <w:shd w:fill="F5F5F3"/>
            <w:tcMar>
              <w:top w:w="110" w:type="dxa"/>
              <w:start w:w="130" w:type="dxa"/>
              <w:bottom w:w="110" w:type="dxa"/>
              <w:end w:w="130" w:type="dxa"/>
            </w:tcMar>
          </w:tcPr>
          <w:p>
            <w:pPr>
              <w:spacing w:after="0" w:line="252" w:lineRule="auto"/>
            </w:pPr>
            <w:r>
              <w:rPr>
                <w:sz w:val="17"/>
              </w:rPr>
              <w:t>What changes, what is the quantified effect, what options exist, and who accepts the consequences?</w:t>
            </w:r>
          </w:p>
        </w:tc>
      </w:tr>
    </w:tbl>
    <w:p>
      <w:pPr>
        <w:spacing w:after="20"/>
      </w:pPr>
    </w:p>
    <w:p>
      <w:pPr>
        <w:keepLines/>
      </w:pPr>
      <w:r>
        <w:t>In ArkHimar PM, a change proceeds through drafting, submission, impact analysis and CCB review before a decision. Owners or admins approve, reject or defer. Approved changes move through implementation, verification and closure. Ask for evidence that the decision was implemented and that related baselines were revised where necessary.</w:t>
      </w:r>
    </w:p>
    <w:p>
      <w:pPr>
        <w:pStyle w:val="Heading1"/>
        <w:keepNext/>
      </w:pPr>
      <w:r>
        <w:t>Use governance reviews</w:t>
      </w:r>
    </w:p>
    <w:p>
      <w:pPr>
        <w:keepLines/>
      </w:pPr>
      <w:r>
        <w:t>Governance reviews provide formal points to continue, change, pause or stop work. Open Delivery and Governance and examine the review type, criteria, evidence and recommendation. A review marked Ready requires a decision from an owner or admin.</w:t>
      </w:r>
    </w:p>
    <w:p>
      <w:pPr>
        <w:pStyle w:val="ListBullet"/>
        <w:spacing w:after="60"/>
        <w:keepLines/>
      </w:pPr>
      <w:r>
        <w:t>Approve when criteria are met and the residual exposure is acceptable.</w:t>
      </w:r>
    </w:p>
    <w:p>
      <w:pPr>
        <w:pStyle w:val="ListBullet"/>
        <w:spacing w:after="60"/>
        <w:keepLines/>
      </w:pPr>
      <w:r>
        <w:t>Reject when continuation is not justified or the proposed outcome is no longer required.</w:t>
      </w:r>
    </w:p>
    <w:p>
      <w:pPr>
        <w:pStyle w:val="ListBullet"/>
        <w:spacing w:after="60"/>
        <w:keepLines/>
      </w:pPr>
      <w:r>
        <w:t>Defer when a specific piece of evidence or action is required before decision. State exactly what is missing and the next review date.</w:t>
      </w:r>
    </w:p>
    <w:p>
      <w:pPr>
        <w:pStyle w:val="ListBullet"/>
        <w:spacing w:after="60"/>
        <w:keepLines/>
      </w:pPr>
      <w:r>
        <w:t>Close an approved review after its required follow-up is complete.</w:t>
      </w:r>
    </w:p>
    <w:p>
      <w:pPr>
        <w:pStyle w:val="Heading1"/>
        <w:keepNext/>
      </w:pPr>
      <w:r>
        <w:t>Read a status report</w:t>
      </w:r>
    </w:p>
    <w:p>
      <w:pPr>
        <w:keepLines/>
      </w:pPr>
      <w:r>
        <w:t>Start with the outcome and forecast, then investigate the indicators. A report is useful when it tells you whether objectives remain achievable, what changed since the last cut-off and which decisions require your authority.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872"/>
            <w:shd w:fill="17324D"/>
            <w:vAlign w:val="center"/>
            <w:tcMar>
              <w:top w:w="110" w:type="dxa"/>
              <w:start w:w="130" w:type="dxa"/>
              <w:bottom w:w="110" w:type="dxa"/>
              <w:end w:w="130" w:type="dxa"/>
            </w:tcMar>
          </w:tcPr>
          <w:p>
            <w:r>
              <w:rPr>
                <w:b/>
                <w:color w:val="FFFFFF"/>
                <w:sz w:val="18"/>
              </w:rPr>
              <w:t>Indicator</w:t>
            </w:r>
          </w:p>
        </w:tc>
        <w:tc>
          <w:tcPr>
            <w:tcW w:type="dxa" w:w="4536"/>
            <w:shd w:fill="17324D"/>
            <w:vAlign w:val="center"/>
            <w:tcMar>
              <w:top w:w="110" w:type="dxa"/>
              <w:start w:w="130" w:type="dxa"/>
              <w:bottom w:w="110" w:type="dxa"/>
              <w:end w:w="130" w:type="dxa"/>
            </w:tcMar>
          </w:tcPr>
          <w:p>
            <w:r>
              <w:rPr>
                <w:b/>
                <w:color w:val="FFFFFF"/>
                <w:sz w:val="18"/>
              </w:rPr>
              <w:t>Interpretation</w:t>
            </w:r>
          </w:p>
        </w:tc>
        <w:tc>
          <w:tcPr>
            <w:tcW w:type="dxa" w:w="4392"/>
            <w:shd w:fill="17324D"/>
            <w:vAlign w:val="center"/>
            <w:tcMar>
              <w:top w:w="110" w:type="dxa"/>
              <w:start w:w="130" w:type="dxa"/>
              <w:bottom w:w="110" w:type="dxa"/>
              <w:end w:w="130" w:type="dxa"/>
            </w:tcMar>
          </w:tcPr>
          <w:p>
            <w:r>
              <w:rPr>
                <w:b/>
                <w:color w:val="FFFFFF"/>
                <w:sz w:val="18"/>
              </w:rPr>
              <w:t>Question to ask</w:t>
            </w:r>
          </w:p>
        </w:tc>
      </w:tr>
      <w:tr>
        <w:tc>
          <w:tcPr>
            <w:tcW w:type="dxa" w:w="1872"/>
            <w:vAlign w:val="center"/>
            <w:tcMar>
              <w:top w:w="110" w:type="dxa"/>
              <w:start w:w="130" w:type="dxa"/>
              <w:bottom w:w="110" w:type="dxa"/>
              <w:end w:w="130" w:type="dxa"/>
            </w:tcMar>
          </w:tcPr>
          <w:p>
            <w:pPr>
              <w:spacing w:after="0" w:line="252" w:lineRule="auto"/>
            </w:pPr>
            <w:r>
              <w:rPr>
                <w:sz w:val="17"/>
              </w:rPr>
              <w:t>Overall health</w:t>
            </w:r>
          </w:p>
        </w:tc>
        <w:tc>
          <w:tcPr>
            <w:tcW w:type="dxa" w:w="4536"/>
            <w:vAlign w:val="center"/>
            <w:tcMar>
              <w:top w:w="110" w:type="dxa"/>
              <w:start w:w="130" w:type="dxa"/>
              <w:bottom w:w="110" w:type="dxa"/>
              <w:end w:w="130" w:type="dxa"/>
            </w:tcMar>
          </w:tcPr>
          <w:p>
            <w:pPr>
              <w:spacing w:after="0" w:line="252" w:lineRule="auto"/>
            </w:pPr>
            <w:r>
              <w:rPr>
                <w:sz w:val="17"/>
              </w:rPr>
              <w:t>Management judgment: On track, Watch or At risk</w:t>
            </w:r>
          </w:p>
        </w:tc>
        <w:tc>
          <w:tcPr>
            <w:tcW w:type="dxa" w:w="4392"/>
            <w:vAlign w:val="center"/>
            <w:tcMar>
              <w:top w:w="110" w:type="dxa"/>
              <w:start w:w="130" w:type="dxa"/>
              <w:bottom w:w="110" w:type="dxa"/>
              <w:end w:w="130" w:type="dxa"/>
            </w:tcMar>
          </w:tcPr>
          <w:p>
            <w:pPr>
              <w:spacing w:after="0" w:line="252" w:lineRule="auto"/>
            </w:pPr>
            <w:r>
              <w:rPr>
                <w:sz w:val="17"/>
              </w:rPr>
              <w:t>What evidence supports this rating and what would change it?</w:t>
            </w:r>
          </w:p>
        </w:tc>
      </w:tr>
      <w:tr>
        <w:tc>
          <w:tcPr>
            <w:tcW w:type="dxa" w:w="1872"/>
            <w:vAlign w:val="center"/>
            <w:shd w:fill="F5F5F3"/>
            <w:tcMar>
              <w:top w:w="110" w:type="dxa"/>
              <w:start w:w="130" w:type="dxa"/>
              <w:bottom w:w="110" w:type="dxa"/>
              <w:end w:w="130" w:type="dxa"/>
            </w:tcMar>
          </w:tcPr>
          <w:p>
            <w:pPr>
              <w:spacing w:after="0" w:line="252" w:lineRule="auto"/>
            </w:pPr>
            <w:r>
              <w:rPr>
                <w:sz w:val="17"/>
              </w:rPr>
              <w:t>Delivery completion</w:t>
            </w:r>
          </w:p>
        </w:tc>
        <w:tc>
          <w:tcPr>
            <w:tcW w:type="dxa" w:w="4536"/>
            <w:vAlign w:val="center"/>
            <w:shd w:fill="F5F5F3"/>
            <w:tcMar>
              <w:top w:w="110" w:type="dxa"/>
              <w:start w:w="130" w:type="dxa"/>
              <w:bottom w:w="110" w:type="dxa"/>
              <w:end w:w="130" w:type="dxa"/>
            </w:tcMar>
          </w:tcPr>
          <w:p>
            <w:pPr>
              <w:spacing w:after="0" w:line="252" w:lineRule="auto"/>
            </w:pPr>
            <w:r>
              <w:rPr>
                <w:sz w:val="17"/>
              </w:rPr>
              <w:t>Completed estimated work compared with total estimated work</w:t>
            </w:r>
          </w:p>
        </w:tc>
        <w:tc>
          <w:tcPr>
            <w:tcW w:type="dxa" w:w="4392"/>
            <w:vAlign w:val="center"/>
            <w:shd w:fill="F5F5F3"/>
            <w:tcMar>
              <w:top w:w="110" w:type="dxa"/>
              <w:start w:w="130" w:type="dxa"/>
              <w:bottom w:w="110" w:type="dxa"/>
              <w:end w:w="130" w:type="dxa"/>
            </w:tcMar>
          </w:tcPr>
          <w:p>
            <w:pPr>
              <w:spacing w:after="0" w:line="252" w:lineRule="auto"/>
            </w:pPr>
            <w:r>
              <w:rPr>
                <w:sz w:val="17"/>
              </w:rPr>
              <w:t>Is completed work accepted and supported by evidence?</w:t>
            </w:r>
          </w:p>
        </w:tc>
      </w:tr>
      <w:tr>
        <w:tc>
          <w:tcPr>
            <w:tcW w:type="dxa" w:w="1872"/>
            <w:vAlign w:val="center"/>
            <w:tcMar>
              <w:top w:w="110" w:type="dxa"/>
              <w:start w:w="130" w:type="dxa"/>
              <w:bottom w:w="110" w:type="dxa"/>
              <w:end w:w="130" w:type="dxa"/>
            </w:tcMar>
          </w:tcPr>
          <w:p>
            <w:pPr>
              <w:spacing w:after="0" w:line="252" w:lineRule="auto"/>
            </w:pPr>
            <w:r>
              <w:rPr>
                <w:sz w:val="17"/>
              </w:rPr>
              <w:t>Blocked work</w:t>
            </w:r>
          </w:p>
        </w:tc>
        <w:tc>
          <w:tcPr>
            <w:tcW w:type="dxa" w:w="4536"/>
            <w:vAlign w:val="center"/>
            <w:tcMar>
              <w:top w:w="110" w:type="dxa"/>
              <w:start w:w="130" w:type="dxa"/>
              <w:bottom w:w="110" w:type="dxa"/>
              <w:end w:w="130" w:type="dxa"/>
            </w:tcMar>
          </w:tcPr>
          <w:p>
            <w:pPr>
              <w:spacing w:after="0" w:line="252" w:lineRule="auto"/>
            </w:pPr>
            <w:r>
              <w:rPr>
                <w:sz w:val="17"/>
              </w:rPr>
              <w:t>Items that cannot progress</w:t>
            </w:r>
          </w:p>
        </w:tc>
        <w:tc>
          <w:tcPr>
            <w:tcW w:type="dxa" w:w="4392"/>
            <w:vAlign w:val="center"/>
            <w:tcMar>
              <w:top w:w="110" w:type="dxa"/>
              <w:start w:w="130" w:type="dxa"/>
              <w:bottom w:w="110" w:type="dxa"/>
              <w:end w:w="130" w:type="dxa"/>
            </w:tcMar>
          </w:tcPr>
          <w:p>
            <w:pPr>
              <w:spacing w:after="0" w:line="252" w:lineRule="auto"/>
            </w:pPr>
            <w:r>
              <w:rPr>
                <w:sz w:val="17"/>
              </w:rPr>
              <w:t>Who can remove the blocker and by when?</w:t>
            </w:r>
          </w:p>
        </w:tc>
      </w:tr>
      <w:tr>
        <w:tc>
          <w:tcPr>
            <w:tcW w:type="dxa" w:w="1872"/>
            <w:vAlign w:val="center"/>
            <w:shd w:fill="F5F5F3"/>
            <w:tcMar>
              <w:top w:w="110" w:type="dxa"/>
              <w:start w:w="130" w:type="dxa"/>
              <w:bottom w:w="110" w:type="dxa"/>
              <w:end w:w="130" w:type="dxa"/>
            </w:tcMar>
          </w:tcPr>
          <w:p>
            <w:pPr>
              <w:spacing w:after="0" w:line="252" w:lineRule="auto"/>
            </w:pPr>
            <w:r>
              <w:rPr>
                <w:sz w:val="17"/>
              </w:rPr>
              <w:t>CPI</w:t>
            </w:r>
          </w:p>
        </w:tc>
        <w:tc>
          <w:tcPr>
            <w:tcW w:type="dxa" w:w="4536"/>
            <w:vAlign w:val="center"/>
            <w:shd w:fill="F5F5F3"/>
            <w:tcMar>
              <w:top w:w="110" w:type="dxa"/>
              <w:start w:w="130" w:type="dxa"/>
              <w:bottom w:w="110" w:type="dxa"/>
              <w:end w:w="130" w:type="dxa"/>
            </w:tcMar>
          </w:tcPr>
          <w:p>
            <w:pPr>
              <w:spacing w:after="0" w:line="252" w:lineRule="auto"/>
            </w:pPr>
            <w:r>
              <w:rPr>
                <w:sz w:val="17"/>
              </w:rPr>
              <w:t>Below 1 suggests the project is earning less value per unit of cost than planned</w:t>
            </w:r>
          </w:p>
        </w:tc>
        <w:tc>
          <w:tcPr>
            <w:tcW w:type="dxa" w:w="4392"/>
            <w:vAlign w:val="center"/>
            <w:shd w:fill="F5F5F3"/>
            <w:tcMar>
              <w:top w:w="110" w:type="dxa"/>
              <w:start w:w="130" w:type="dxa"/>
              <w:bottom w:w="110" w:type="dxa"/>
              <w:end w:w="130" w:type="dxa"/>
            </w:tcMar>
          </w:tcPr>
          <w:p>
            <w:pPr>
              <w:spacing w:after="0" w:line="252" w:lineRule="auto"/>
            </w:pPr>
            <w:r>
              <w:rPr>
                <w:sz w:val="17"/>
              </w:rPr>
              <w:t>Is this temporary, and what is the revised cost forecast?</w:t>
            </w:r>
          </w:p>
        </w:tc>
      </w:tr>
      <w:tr>
        <w:tc>
          <w:tcPr>
            <w:tcW w:type="dxa" w:w="1872"/>
            <w:vAlign w:val="center"/>
            <w:tcMar>
              <w:top w:w="110" w:type="dxa"/>
              <w:start w:w="130" w:type="dxa"/>
              <w:bottom w:w="110" w:type="dxa"/>
              <w:end w:w="130" w:type="dxa"/>
            </w:tcMar>
          </w:tcPr>
          <w:p>
            <w:pPr>
              <w:spacing w:after="0" w:line="252" w:lineRule="auto"/>
            </w:pPr>
            <w:r>
              <w:rPr>
                <w:sz w:val="17"/>
              </w:rPr>
              <w:t>SPI</w:t>
            </w:r>
          </w:p>
        </w:tc>
        <w:tc>
          <w:tcPr>
            <w:tcW w:type="dxa" w:w="4536"/>
            <w:vAlign w:val="center"/>
            <w:tcMar>
              <w:top w:w="110" w:type="dxa"/>
              <w:start w:w="130" w:type="dxa"/>
              <w:bottom w:w="110" w:type="dxa"/>
              <w:end w:w="130" w:type="dxa"/>
            </w:tcMar>
          </w:tcPr>
          <w:p>
            <w:pPr>
              <w:spacing w:after="0" w:line="252" w:lineRule="auto"/>
            </w:pPr>
            <w:r>
              <w:rPr>
                <w:sz w:val="17"/>
              </w:rPr>
              <w:t>Below 1 suggests less value has been completed than planned</w:t>
            </w:r>
          </w:p>
        </w:tc>
        <w:tc>
          <w:tcPr>
            <w:tcW w:type="dxa" w:w="4392"/>
            <w:vAlign w:val="center"/>
            <w:tcMar>
              <w:top w:w="110" w:type="dxa"/>
              <w:start w:w="130" w:type="dxa"/>
              <w:bottom w:w="110" w:type="dxa"/>
              <w:end w:w="130" w:type="dxa"/>
            </w:tcMar>
          </w:tcPr>
          <w:p>
            <w:pPr>
              <w:spacing w:after="0" w:line="252" w:lineRule="auto"/>
            </w:pPr>
            <w:r>
              <w:rPr>
                <w:sz w:val="17"/>
              </w:rPr>
              <w:t>Which milestone or benefit is affected?</w:t>
            </w:r>
          </w:p>
        </w:tc>
      </w:tr>
      <w:tr>
        <w:tc>
          <w:tcPr>
            <w:tcW w:type="dxa" w:w="1872"/>
            <w:vAlign w:val="center"/>
            <w:shd w:fill="F5F5F3"/>
            <w:tcMar>
              <w:top w:w="110" w:type="dxa"/>
              <w:start w:w="130" w:type="dxa"/>
              <w:bottom w:w="110" w:type="dxa"/>
              <w:end w:w="130" w:type="dxa"/>
            </w:tcMar>
          </w:tcPr>
          <w:p>
            <w:pPr>
              <w:spacing w:after="0" w:line="252" w:lineRule="auto"/>
            </w:pPr>
            <w:r>
              <w:rPr>
                <w:sz w:val="17"/>
              </w:rPr>
              <w:t>Critical risks</w:t>
            </w:r>
          </w:p>
        </w:tc>
        <w:tc>
          <w:tcPr>
            <w:tcW w:type="dxa" w:w="4536"/>
            <w:vAlign w:val="center"/>
            <w:shd w:fill="F5F5F3"/>
            <w:tcMar>
              <w:top w:w="110" w:type="dxa"/>
              <w:start w:w="130" w:type="dxa"/>
              <w:bottom w:w="110" w:type="dxa"/>
              <w:end w:w="130" w:type="dxa"/>
            </w:tcMar>
          </w:tcPr>
          <w:p>
            <w:pPr>
              <w:spacing w:after="0" w:line="252" w:lineRule="auto"/>
            </w:pPr>
            <w:r>
              <w:rPr>
                <w:sz w:val="17"/>
              </w:rPr>
              <w:t>High probability-impact exposure requiring attention</w:t>
            </w:r>
          </w:p>
        </w:tc>
        <w:tc>
          <w:tcPr>
            <w:tcW w:type="dxa" w:w="4392"/>
            <w:vAlign w:val="center"/>
            <w:shd w:fill="F5F5F3"/>
            <w:tcMar>
              <w:top w:w="110" w:type="dxa"/>
              <w:start w:w="130" w:type="dxa"/>
              <w:bottom w:w="110" w:type="dxa"/>
              <w:end w:w="130" w:type="dxa"/>
            </w:tcMar>
          </w:tcPr>
          <w:p>
            <w:pPr>
              <w:spacing w:after="0" w:line="252" w:lineRule="auto"/>
            </w:pPr>
            <w:r>
              <w:rPr>
                <w:sz w:val="17"/>
              </w:rPr>
              <w:t>Is the response funded, owned and due before the trigger?</w:t>
            </w:r>
          </w:p>
        </w:tc>
      </w:tr>
      <w:tr>
        <w:tc>
          <w:tcPr>
            <w:tcW w:type="dxa" w:w="1872"/>
            <w:vAlign w:val="center"/>
            <w:tcMar>
              <w:top w:w="110" w:type="dxa"/>
              <w:start w:w="130" w:type="dxa"/>
              <w:bottom w:w="110" w:type="dxa"/>
              <w:end w:w="130" w:type="dxa"/>
            </w:tcMar>
          </w:tcPr>
          <w:p>
            <w:pPr>
              <w:spacing w:after="0" w:line="252" w:lineRule="auto"/>
            </w:pPr>
            <w:r>
              <w:rPr>
                <w:sz w:val="17"/>
              </w:rPr>
              <w:t>Decisions needed</w:t>
            </w:r>
          </w:p>
        </w:tc>
        <w:tc>
          <w:tcPr>
            <w:tcW w:type="dxa" w:w="4536"/>
            <w:vAlign w:val="center"/>
            <w:tcMar>
              <w:top w:w="110" w:type="dxa"/>
              <w:start w:w="130" w:type="dxa"/>
              <w:bottom w:w="110" w:type="dxa"/>
              <w:end w:w="130" w:type="dxa"/>
            </w:tcMar>
          </w:tcPr>
          <w:p>
            <w:pPr>
              <w:spacing w:after="0" w:line="252" w:lineRule="auto"/>
            </w:pPr>
            <w:r>
              <w:rPr>
                <w:sz w:val="17"/>
              </w:rPr>
              <w:t>Matters outside the PM's authority</w:t>
            </w:r>
          </w:p>
        </w:tc>
        <w:tc>
          <w:tcPr>
            <w:tcW w:type="dxa" w:w="4392"/>
            <w:vAlign w:val="center"/>
            <w:tcMar>
              <w:top w:w="110" w:type="dxa"/>
              <w:start w:w="130" w:type="dxa"/>
              <w:bottom w:w="110" w:type="dxa"/>
              <w:end w:w="130" w:type="dxa"/>
            </w:tcMar>
          </w:tcPr>
          <w:p>
            <w:pPr>
              <w:spacing w:after="0" w:line="252" w:lineRule="auto"/>
            </w:pPr>
            <w:r>
              <w:rPr>
                <w:sz w:val="17"/>
              </w:rPr>
              <w:t>What happens if the decision is late?</w:t>
            </w:r>
          </w:p>
        </w:tc>
      </w:tr>
    </w:tbl>
    <w:p>
      <w:pPr>
        <w:spacing w:after="20"/>
      </w:pPr>
    </w:p>
    <w:p>
      <w:pPr>
        <w:keepLines/>
      </w:pPr>
      <w:r>
        <w:t>Published reports are immutable snapshots. If an error is later discovered, require a corrected report and explanation rather than deleting the historical record.</w:t>
      </w:r>
    </w:p>
    <w:p>
      <w:pPr>
        <w:pStyle w:val="Heading1"/>
        <w:keepNext/>
      </w:pPr>
      <w:r>
        <w:t>Sponsor meeting rhythm</w:t>
      </w:r>
    </w:p>
    <w:p>
      <w:pPr>
        <w:pStyle w:val="ListBullet"/>
        <w:spacing w:after="60"/>
        <w:keepLines/>
      </w:pPr>
      <w:r>
        <w:t>Hold a short regular sponsor-PM meeting focused on forecast, exceptions and decisions, not task-by-task narration.</w:t>
      </w:r>
    </w:p>
    <w:p>
      <w:pPr>
        <w:pStyle w:val="ListBullet"/>
        <w:spacing w:after="60"/>
        <w:keepLines/>
      </w:pPr>
      <w:r>
        <w:t>Attend stage gates, steering committees and major release reviews where your authority is required.</w:t>
      </w:r>
    </w:p>
    <w:p>
      <w:pPr>
        <w:pStyle w:val="ListBullet"/>
        <w:spacing w:after="60"/>
        <w:keepLines/>
      </w:pPr>
      <w:r>
        <w:t>Review the business case when cost, timing, benefits, regulation or strategy changes materially.</w:t>
      </w:r>
    </w:p>
    <w:p>
      <w:pPr>
        <w:pStyle w:val="ListBullet"/>
        <w:spacing w:after="60"/>
        <w:keepLines/>
      </w:pPr>
      <w:r>
        <w:t>Respond to escalations by the latest useful decision date. Silence is itself a project constraint.</w:t>
      </w:r>
    </w:p>
    <w:p>
      <w:pPr>
        <w:pStyle w:val="ListBullet"/>
        <w:spacing w:after="60"/>
        <w:keepLines/>
      </w:pPr>
      <w:r>
        <w:t>Confirm stakeholder support and remove organizational barriers that the project manager cannot resolve.</w:t>
      </w:r>
    </w:p>
    <w:p>
      <w:pPr>
        <w:pStyle w:val="Heading1"/>
        <w:keepNext/>
      </w:pPr>
      <w:r>
        <w:t>Questions that improve decisions</w:t>
      </w:r>
    </w:p>
    <w:p>
      <w:pPr>
        <w:pStyle w:val="ListBullet"/>
        <w:spacing w:after="60"/>
        <w:keepLines/>
      </w:pPr>
      <w:r>
        <w:t>What has changed since the last approved position?</w:t>
      </w:r>
    </w:p>
    <w:p>
      <w:pPr>
        <w:pStyle w:val="ListBullet"/>
        <w:spacing w:after="60"/>
        <w:keepLines/>
      </w:pPr>
      <w:r>
        <w:t>Which assumption is least certain?</w:t>
      </w:r>
    </w:p>
    <w:p>
      <w:pPr>
        <w:pStyle w:val="ListBullet"/>
        <w:spacing w:after="60"/>
        <w:keepLines/>
      </w:pPr>
      <w:r>
        <w:t>What is the effect on outcome, benefit, date and total cost?</w:t>
      </w:r>
    </w:p>
    <w:p>
      <w:pPr>
        <w:pStyle w:val="ListBullet"/>
        <w:spacing w:after="60"/>
        <w:keepLines/>
      </w:pPr>
      <w:r>
        <w:t>What options were considered, including stopping or reducing scope?</w:t>
      </w:r>
    </w:p>
    <w:p>
      <w:pPr>
        <w:pStyle w:val="ListBullet"/>
        <w:spacing w:after="60"/>
        <w:keepLines/>
      </w:pPr>
      <w:r>
        <w:t>What decision is required from me, and by what date?</w:t>
      </w:r>
    </w:p>
    <w:p>
      <w:pPr>
        <w:pStyle w:val="ListBullet"/>
        <w:spacing w:after="60"/>
        <w:keepLines/>
      </w:pPr>
      <w:r>
        <w:t>What evidence will show that the decision was implemented?</w:t>
      </w:r>
    </w:p>
    <w:p>
      <w:pPr>
        <w:pStyle w:val="ListBullet"/>
        <w:spacing w:after="60"/>
        <w:keepLines/>
      </w:pPr>
      <w:r>
        <w:t>Who owns the benefit after project handover?</w:t>
      </w:r>
    </w:p>
    <w:p>
      <w:pPr>
        <w:pStyle w:val="Heading1"/>
        <w:keepNext/>
      </w:pPr>
      <w:r>
        <w:t>Warning signs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4680"/>
            <w:shd w:fill="17324D"/>
            <w:vAlign w:val="center"/>
            <w:tcMar>
              <w:top w:w="110" w:type="dxa"/>
              <w:start w:w="130" w:type="dxa"/>
              <w:bottom w:w="110" w:type="dxa"/>
              <w:end w:w="130" w:type="dxa"/>
            </w:tcMar>
          </w:tcPr>
          <w:p>
            <w:r>
              <w:rPr>
                <w:b/>
                <w:color w:val="FFFFFF"/>
                <w:sz w:val="18"/>
              </w:rPr>
              <w:t>Warning sign</w:t>
            </w:r>
          </w:p>
        </w:tc>
        <w:tc>
          <w:tcPr>
            <w:tcW w:type="dxa" w:w="6120"/>
            <w:shd w:fill="17324D"/>
            <w:vAlign w:val="center"/>
            <w:tcMar>
              <w:top w:w="110" w:type="dxa"/>
              <w:start w:w="130" w:type="dxa"/>
              <w:bottom w:w="110" w:type="dxa"/>
              <w:end w:w="130" w:type="dxa"/>
            </w:tcMar>
          </w:tcPr>
          <w:p>
            <w:r>
              <w:rPr>
                <w:b/>
                <w:color w:val="FFFFFF"/>
                <w:sz w:val="18"/>
              </w:rPr>
              <w:t>Sponsor response</w:t>
            </w:r>
          </w:p>
        </w:tc>
      </w:tr>
      <w:tr>
        <w:tc>
          <w:tcPr>
            <w:tcW w:type="dxa" w:w="4680"/>
            <w:vAlign w:val="center"/>
            <w:tcMar>
              <w:top w:w="110" w:type="dxa"/>
              <w:start w:w="130" w:type="dxa"/>
              <w:bottom w:w="110" w:type="dxa"/>
              <w:end w:w="130" w:type="dxa"/>
            </w:tcMar>
          </w:tcPr>
          <w:p>
            <w:pPr>
              <w:spacing w:after="0" w:line="252" w:lineRule="auto"/>
            </w:pPr>
            <w:r>
              <w:rPr>
                <w:sz w:val="17"/>
              </w:rPr>
              <w:t>All reports remain On track despite repeated missed milestones</w:t>
            </w:r>
          </w:p>
        </w:tc>
        <w:tc>
          <w:tcPr>
            <w:tcW w:type="dxa" w:w="6120"/>
            <w:vAlign w:val="center"/>
            <w:tcMar>
              <w:top w:w="110" w:type="dxa"/>
              <w:start w:w="130" w:type="dxa"/>
              <w:bottom w:w="110" w:type="dxa"/>
              <w:end w:w="130" w:type="dxa"/>
            </w:tcMar>
          </w:tcPr>
          <w:p>
            <w:pPr>
              <w:spacing w:after="0" w:line="252" w:lineRule="auto"/>
            </w:pPr>
            <w:r>
              <w:rPr>
                <w:sz w:val="17"/>
              </w:rPr>
              <w:t>Ask for source data, current forecast and the health-rating rationale</w:t>
            </w:r>
          </w:p>
        </w:tc>
      </w:tr>
      <w:tr>
        <w:tc>
          <w:tcPr>
            <w:tcW w:type="dxa" w:w="4680"/>
            <w:vAlign w:val="center"/>
            <w:shd w:fill="F5F5F3"/>
            <w:tcMar>
              <w:top w:w="110" w:type="dxa"/>
              <w:start w:w="130" w:type="dxa"/>
              <w:bottom w:w="110" w:type="dxa"/>
              <w:end w:w="130" w:type="dxa"/>
            </w:tcMar>
          </w:tcPr>
          <w:p>
            <w:pPr>
              <w:spacing w:after="0" w:line="252" w:lineRule="auto"/>
            </w:pPr>
            <w:r>
              <w:rPr>
                <w:sz w:val="17"/>
              </w:rPr>
              <w:t>A change is already implemented before approval</w:t>
            </w:r>
          </w:p>
        </w:tc>
        <w:tc>
          <w:tcPr>
            <w:tcW w:type="dxa" w:w="6120"/>
            <w:vAlign w:val="center"/>
            <w:shd w:fill="F5F5F3"/>
            <w:tcMar>
              <w:top w:w="110" w:type="dxa"/>
              <w:start w:w="130" w:type="dxa"/>
              <w:bottom w:w="110" w:type="dxa"/>
              <w:end w:w="130" w:type="dxa"/>
            </w:tcMar>
          </w:tcPr>
          <w:p>
            <w:pPr>
              <w:spacing w:after="0" w:line="252" w:lineRule="auto"/>
            </w:pPr>
            <w:r>
              <w:rPr>
                <w:sz w:val="17"/>
              </w:rPr>
              <w:t>Stop unauthorized work where practical and require impact assessment</w:t>
            </w:r>
          </w:p>
        </w:tc>
      </w:tr>
      <w:tr>
        <w:tc>
          <w:tcPr>
            <w:tcW w:type="dxa" w:w="4680"/>
            <w:vAlign w:val="center"/>
            <w:tcMar>
              <w:top w:w="110" w:type="dxa"/>
              <w:start w:w="130" w:type="dxa"/>
              <w:bottom w:w="110" w:type="dxa"/>
              <w:end w:w="130" w:type="dxa"/>
            </w:tcMar>
          </w:tcPr>
          <w:p>
            <w:pPr>
              <w:spacing w:after="0" w:line="252" w:lineRule="auto"/>
            </w:pPr>
            <w:r>
              <w:rPr>
                <w:sz w:val="17"/>
              </w:rPr>
              <w:t>Risks have no owners or overdue responses</w:t>
            </w:r>
          </w:p>
        </w:tc>
        <w:tc>
          <w:tcPr>
            <w:tcW w:type="dxa" w:w="6120"/>
            <w:vAlign w:val="center"/>
            <w:tcMar>
              <w:top w:w="110" w:type="dxa"/>
              <w:start w:w="130" w:type="dxa"/>
              <w:bottom w:w="110" w:type="dxa"/>
              <w:end w:w="130" w:type="dxa"/>
            </w:tcMar>
          </w:tcPr>
          <w:p>
            <w:pPr>
              <w:spacing w:after="0" w:line="252" w:lineRule="auto"/>
            </w:pPr>
            <w:r>
              <w:rPr>
                <w:sz w:val="17"/>
              </w:rPr>
              <w:t>Assign accountable owners and confirm resources</w:t>
            </w:r>
          </w:p>
        </w:tc>
      </w:tr>
      <w:tr>
        <w:tc>
          <w:tcPr>
            <w:tcW w:type="dxa" w:w="4680"/>
            <w:vAlign w:val="center"/>
            <w:shd w:fill="F5F5F3"/>
            <w:tcMar>
              <w:top w:w="110" w:type="dxa"/>
              <w:start w:w="130" w:type="dxa"/>
              <w:bottom w:w="110" w:type="dxa"/>
              <w:end w:w="130" w:type="dxa"/>
            </w:tcMar>
          </w:tcPr>
          <w:p>
            <w:pPr>
              <w:spacing w:after="0" w:line="252" w:lineRule="auto"/>
            </w:pPr>
            <w:r>
              <w:rPr>
                <w:sz w:val="17"/>
              </w:rPr>
              <w:t>Completion rises but acceptance evidence is missing</w:t>
            </w:r>
          </w:p>
        </w:tc>
        <w:tc>
          <w:tcPr>
            <w:tcW w:type="dxa" w:w="6120"/>
            <w:vAlign w:val="center"/>
            <w:shd w:fill="F5F5F3"/>
            <w:tcMar>
              <w:top w:w="110" w:type="dxa"/>
              <w:start w:w="130" w:type="dxa"/>
              <w:bottom w:w="110" w:type="dxa"/>
              <w:end w:w="130" w:type="dxa"/>
            </w:tcMar>
          </w:tcPr>
          <w:p>
            <w:pPr>
              <w:spacing w:after="0" w:line="252" w:lineRule="auto"/>
            </w:pPr>
            <w:r>
              <w:rPr>
                <w:sz w:val="17"/>
              </w:rPr>
              <w:t>Separate work performed from work accepted</w:t>
            </w:r>
          </w:p>
        </w:tc>
      </w:tr>
      <w:tr>
        <w:tc>
          <w:tcPr>
            <w:tcW w:type="dxa" w:w="4680"/>
            <w:vAlign w:val="center"/>
            <w:tcMar>
              <w:top w:w="110" w:type="dxa"/>
              <w:start w:w="130" w:type="dxa"/>
              <w:bottom w:w="110" w:type="dxa"/>
              <w:end w:w="130" w:type="dxa"/>
            </w:tcMar>
          </w:tcPr>
          <w:p>
            <w:pPr>
              <w:spacing w:after="0" w:line="252" w:lineRule="auto"/>
            </w:pPr>
            <w:r>
              <w:rPr>
                <w:sz w:val="17"/>
              </w:rPr>
              <w:t>The PM escalates the same dependency repeatedly</w:t>
            </w:r>
          </w:p>
        </w:tc>
        <w:tc>
          <w:tcPr>
            <w:tcW w:type="dxa" w:w="6120"/>
            <w:vAlign w:val="center"/>
            <w:tcMar>
              <w:top w:w="110" w:type="dxa"/>
              <w:start w:w="130" w:type="dxa"/>
              <w:bottom w:w="110" w:type="dxa"/>
              <w:end w:w="130" w:type="dxa"/>
            </w:tcMar>
          </w:tcPr>
          <w:p>
            <w:pPr>
              <w:spacing w:after="0" w:line="252" w:lineRule="auto"/>
            </w:pPr>
            <w:r>
              <w:rPr>
                <w:sz w:val="17"/>
              </w:rPr>
              <w:t>Use sponsor authority to resolve the organizational constraint</w:t>
            </w:r>
          </w:p>
        </w:tc>
      </w:tr>
      <w:tr>
        <w:tc>
          <w:tcPr>
            <w:tcW w:type="dxa" w:w="4680"/>
            <w:vAlign w:val="center"/>
            <w:shd w:fill="F5F5F3"/>
            <w:tcMar>
              <w:top w:w="110" w:type="dxa"/>
              <w:start w:w="130" w:type="dxa"/>
              <w:bottom w:w="110" w:type="dxa"/>
              <w:end w:w="130" w:type="dxa"/>
            </w:tcMar>
          </w:tcPr>
          <w:p>
            <w:pPr>
              <w:spacing w:after="0" w:line="252" w:lineRule="auto"/>
            </w:pPr>
            <w:r>
              <w:rPr>
                <w:sz w:val="17"/>
              </w:rPr>
              <w:t>The expected benefit is no longer credible</w:t>
            </w:r>
          </w:p>
        </w:tc>
        <w:tc>
          <w:tcPr>
            <w:tcW w:type="dxa" w:w="6120"/>
            <w:vAlign w:val="center"/>
            <w:shd w:fill="F5F5F3"/>
            <w:tcMar>
              <w:top w:w="110" w:type="dxa"/>
              <w:start w:w="130" w:type="dxa"/>
              <w:bottom w:w="110" w:type="dxa"/>
              <w:end w:w="130" w:type="dxa"/>
            </w:tcMar>
          </w:tcPr>
          <w:p>
            <w:pPr>
              <w:spacing w:after="0" w:line="252" w:lineRule="auto"/>
            </w:pPr>
            <w:r>
              <w:rPr>
                <w:sz w:val="17"/>
              </w:rPr>
              <w:t>Reassess the business case and consider pause, redesign or termination</w:t>
            </w:r>
          </w:p>
        </w:tc>
      </w:tr>
    </w:tbl>
    <w:p>
      <w:pPr>
        <w:spacing w:after="20"/>
      </w:pPr>
    </w:p>
    <w:p>
      <w:pPr>
        <w:pStyle w:val="Heading1"/>
        <w:keepNext/>
      </w:pPr>
      <w:r>
        <w:t>Closure and benefits</w:t>
      </w:r>
    </w:p>
    <w:p>
      <w:pPr>
        <w:keepLines/>
      </w:pPr>
      <w:r>
        <w:t>Before authorizing closure, confirm deliverable acceptance, outstanding defects or obligations, operational handover, document retention, financial closure, lessons and a named benefits owner. ArkHimar PM does not yet provide a normalized closure and benefits module. Maintain the formal closure record as a controlled document and preserve follow-up governance outside the platform until those capabilities are implemented.</w:t>
      </w:r>
    </w:p>
    <w:p>
      <w:pPr>
        <w:pStyle w:val="Heading1"/>
        <w:keepNext/>
      </w:pPr>
      <w:r>
        <w:t>Current platform boundaries</w:t>
      </w:r>
    </w:p>
    <w:p>
      <w:pPr>
        <w:keepLines/>
      </w:pPr>
      <w:r>
        <w:t>The current private beta records approvals and governance within the main project views; it does not yet provide a separate notification-driven sponsor inbox or focused approval page. Portfolio dashboards, PPTX executive packs, threaded comments, meeting records and automated reminders remain planned. Use your organization's approved communication and governance channels alongside the platform.</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t>ArkHimar PM  |  ArkHimar PM Sponsor Handbook  |  Private beta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4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ArkHimar PM Sponsor Handbook</dc:title>
  <dc:subject>ArkHimar PM Sponsor Handbook</dc:subject>
  <dc:creator>ArkHimar Consult</dc:creator>
  <cp:keywords>ArkHimar PM, project management, governance, user guide</cp:keywords>
  <dc:description>Prepared for ArkHimar PM users</dc:description>
  <cp:lastModifiedBy/>
  <cp:revision>1</cp:revision>
  <dcterms:created xsi:type="dcterms:W3CDTF">2013-12-23T23:15:00Z</dcterms:created>
  <dcterms:modified xsi:type="dcterms:W3CDTF">2013-12-23T23:15:00Z</dcterms:modified>
  <cp:category/>
</cp:coreProperties>
</file>