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ArkHimar PM Stakeholder Handbook</w:t>
      </w:r>
    </w:p>
    <w:p>
      <w:pPr>
        <w:pStyle w:val="Subtitle"/>
      </w:pPr>
      <w:r>
        <w:t>How team members reviewers clients and other stakeholders work with project information</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8208"/>
      </w:tblGrid>
      <w:tr>
        <w:tc>
          <w:tcPr>
            <w:tcW w:type="dxa" w:w="4939"/>
            <w:shd w:fill="EDF3F7"/>
            <w:vAlign w:val="center"/>
            <w:tcMar>
              <w:top w:w="110" w:type="dxa"/>
              <w:start w:w="130" w:type="dxa"/>
              <w:bottom w:w="110" w:type="dxa"/>
              <w:end w:w="130" w:type="dxa"/>
            </w:tcMar>
          </w:tcPr>
          <w:p>
            <w:r>
              <w:rPr>
                <w:b/>
              </w:rPr>
              <w:t>Audience</w:t>
            </w:r>
          </w:p>
        </w:tc>
        <w:tc>
          <w:tcPr>
            <w:tcW w:type="dxa" w:w="4939"/>
            <w:vAlign w:val="center"/>
            <w:tcMar>
              <w:top w:w="110" w:type="dxa"/>
              <w:start w:w="130" w:type="dxa"/>
              <w:bottom w:w="110" w:type="dxa"/>
              <w:end w:w="130" w:type="dxa"/>
            </w:tcMar>
          </w:tcPr>
          <w:p>
            <w:r>
              <w:t>Internal team members, functional managers, reviewers, clients, consultants, suppliers and external stakeholders</w:t>
            </w:r>
          </w:p>
        </w:tc>
      </w:tr>
      <w:tr>
        <w:tc>
          <w:tcPr>
            <w:tcW w:type="dxa" w:w="4939"/>
            <w:shd w:fill="EDF3F7"/>
            <w:vAlign w:val="center"/>
            <w:tcMar>
              <w:top w:w="110" w:type="dxa"/>
              <w:start w:w="130" w:type="dxa"/>
              <w:bottom w:w="110" w:type="dxa"/>
              <w:end w:w="130" w:type="dxa"/>
            </w:tcMar>
          </w:tcPr>
          <w:p>
            <w:r>
              <w:rPr>
                <w:b/>
              </w:rPr>
              <w:t>Release basis</w:t>
            </w:r>
          </w:p>
        </w:tc>
        <w:tc>
          <w:tcPr>
            <w:tcW w:type="dxa" w:w="4939"/>
            <w:vAlign w:val="center"/>
            <w:tcMar>
              <w:top w:w="110" w:type="dxa"/>
              <w:start w:w="130" w:type="dxa"/>
              <w:bottom w:w="110" w:type="dxa"/>
              <w:end w:w="130" w:type="dxa"/>
            </w:tcMar>
          </w:tcPr>
          <w:p>
            <w:r>
              <w:t>ArkHimar PM private beta and implementation phases 0 through 8</w:t>
            </w:r>
          </w:p>
        </w:tc>
      </w:tr>
      <w:tr>
        <w:tc>
          <w:tcPr>
            <w:tcW w:type="dxa" w:w="4939"/>
            <w:shd w:fill="EDF3F7"/>
            <w:vAlign w:val="center"/>
            <w:tcMar>
              <w:top w:w="110" w:type="dxa"/>
              <w:start w:w="130" w:type="dxa"/>
              <w:bottom w:w="110" w:type="dxa"/>
              <w:end w:w="130" w:type="dxa"/>
            </w:tcMar>
          </w:tcPr>
          <w:p>
            <w:r>
              <w:rPr>
                <w:b/>
              </w:rPr>
              <w:t>Document date</w:t>
            </w:r>
          </w:p>
        </w:tc>
        <w:tc>
          <w:tcPr>
            <w:tcW w:type="dxa" w:w="4939"/>
            <w:vAlign w:val="center"/>
            <w:tcMar>
              <w:top w:w="110" w:type="dxa"/>
              <w:start w:w="130" w:type="dxa"/>
              <w:bottom w:w="110" w:type="dxa"/>
              <w:end w:w="130" w:type="dxa"/>
            </w:tcMar>
          </w:tcPr>
          <w:p>
            <w:r>
              <w:t>9 September 2026</w:t>
            </w:r>
          </w:p>
        </w:tc>
      </w:tr>
    </w:tbl>
    <w:p/>
    <w:p>
      <w:pPr>
        <w:keepLines/>
      </w:pPr>
      <w:r>
        <w:t>This handbook explains how people other than the project manager or sponsor participate in an ArkHimar PM project. It covers safe access, clear updates, risk and issue reporting, evidence, reviews and professional conduct in a corporate project setting.</w:t>
      </w:r>
    </w:p>
    <w:p>
      <w:pPr>
        <w:keepLines/>
      </w:pPr>
      <w:r>
        <w:t>A stakeholder is any person or group that can affect the project, is affected by it or believes it may be affected. Stakeholders do not all need the same access. The project manager and workspace administrators should grant only the information and actions required for each role.</w:t>
      </w:r>
    </w:p>
    <w:p>
      <w:pPr>
        <w:pStyle w:val="Heading1"/>
        <w:keepNext/>
      </w:pPr>
      <w:r>
        <w:t>Know your participation role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2088"/>
            <w:shd w:fill="17324D"/>
            <w:vAlign w:val="center"/>
            <w:tcMar>
              <w:top w:w="110" w:type="dxa"/>
              <w:start w:w="130" w:type="dxa"/>
              <w:bottom w:w="110" w:type="dxa"/>
              <w:end w:w="130" w:type="dxa"/>
            </w:tcMar>
          </w:tcPr>
          <w:p>
            <w:r>
              <w:rPr>
                <w:b/>
                <w:color w:val="FFFFFF"/>
                <w:sz w:val="18"/>
              </w:rPr>
              <w:t>Role</w:t>
            </w:r>
          </w:p>
        </w:tc>
        <w:tc>
          <w:tcPr>
            <w:tcW w:type="dxa" w:w="4320"/>
            <w:shd w:fill="17324D"/>
            <w:vAlign w:val="center"/>
            <w:tcMar>
              <w:top w:w="110" w:type="dxa"/>
              <w:start w:w="130" w:type="dxa"/>
              <w:bottom w:w="110" w:type="dxa"/>
              <w:end w:w="130" w:type="dxa"/>
            </w:tcMar>
          </w:tcPr>
          <w:p>
            <w:r>
              <w:rPr>
                <w:b/>
                <w:color w:val="FFFFFF"/>
                <w:sz w:val="18"/>
              </w:rPr>
              <w:t>Typical contribution</w:t>
            </w:r>
          </w:p>
        </w:tc>
        <w:tc>
          <w:tcPr>
            <w:tcW w:type="dxa" w:w="4392"/>
            <w:shd w:fill="17324D"/>
            <w:vAlign w:val="center"/>
            <w:tcMar>
              <w:top w:w="110" w:type="dxa"/>
              <w:start w:w="130" w:type="dxa"/>
              <w:bottom w:w="110" w:type="dxa"/>
              <w:end w:w="130" w:type="dxa"/>
            </w:tcMar>
          </w:tcPr>
          <w:p>
            <w:r>
              <w:rPr>
                <w:b/>
                <w:color w:val="FFFFFF"/>
                <w:sz w:val="18"/>
              </w:rPr>
              <w:t>Expected behavior</w:t>
            </w:r>
          </w:p>
        </w:tc>
      </w:tr>
      <w:tr>
        <w:tc>
          <w:tcPr>
            <w:tcW w:type="dxa" w:w="2088"/>
            <w:vAlign w:val="center"/>
            <w:tcMar>
              <w:top w:w="110" w:type="dxa"/>
              <w:start w:w="130" w:type="dxa"/>
              <w:bottom w:w="110" w:type="dxa"/>
              <w:end w:w="130" w:type="dxa"/>
            </w:tcMar>
          </w:tcPr>
          <w:p>
            <w:pPr>
              <w:spacing w:after="0" w:line="252" w:lineRule="auto"/>
            </w:pPr>
            <w:r>
              <w:rPr>
                <w:sz w:val="17"/>
              </w:rPr>
              <w:t>Team member</w:t>
            </w:r>
          </w:p>
        </w:tc>
        <w:tc>
          <w:tcPr>
            <w:tcW w:type="dxa" w:w="4320"/>
            <w:vAlign w:val="center"/>
            <w:tcMar>
              <w:top w:w="110" w:type="dxa"/>
              <w:start w:w="130" w:type="dxa"/>
              <w:bottom w:w="110" w:type="dxa"/>
              <w:end w:w="130" w:type="dxa"/>
            </w:tcMar>
          </w:tcPr>
          <w:p>
            <w:pPr>
              <w:spacing w:after="0" w:line="252" w:lineRule="auto"/>
            </w:pPr>
            <w:r>
              <w:rPr>
                <w:sz w:val="17"/>
              </w:rPr>
              <w:t>Completes assigned work and provides progress and evidence</w:t>
            </w:r>
          </w:p>
        </w:tc>
        <w:tc>
          <w:tcPr>
            <w:tcW w:type="dxa" w:w="4392"/>
            <w:vAlign w:val="center"/>
            <w:tcMar>
              <w:top w:w="110" w:type="dxa"/>
              <w:start w:w="130" w:type="dxa"/>
              <w:bottom w:w="110" w:type="dxa"/>
              <w:end w:w="130" w:type="dxa"/>
            </w:tcMar>
          </w:tcPr>
          <w:p>
            <w:pPr>
              <w:spacing w:after="0" w:line="252" w:lineRule="auto"/>
            </w:pPr>
            <w:r>
              <w:rPr>
                <w:sz w:val="17"/>
              </w:rPr>
              <w:t>Raise blockers early and distinguish finished work from accepted work</w:t>
            </w:r>
          </w:p>
        </w:tc>
      </w:tr>
      <w:tr>
        <w:tc>
          <w:tcPr>
            <w:tcW w:type="dxa" w:w="2088"/>
            <w:vAlign w:val="center"/>
            <w:shd w:fill="F5F5F3"/>
            <w:tcMar>
              <w:top w:w="110" w:type="dxa"/>
              <w:start w:w="130" w:type="dxa"/>
              <w:bottom w:w="110" w:type="dxa"/>
              <w:end w:w="130" w:type="dxa"/>
            </w:tcMar>
          </w:tcPr>
          <w:p>
            <w:pPr>
              <w:spacing w:after="0" w:line="252" w:lineRule="auto"/>
            </w:pPr>
            <w:r>
              <w:rPr>
                <w:sz w:val="17"/>
              </w:rPr>
              <w:t>Functional manager</w:t>
            </w:r>
          </w:p>
        </w:tc>
        <w:tc>
          <w:tcPr>
            <w:tcW w:type="dxa" w:w="4320"/>
            <w:vAlign w:val="center"/>
            <w:shd w:fill="F5F5F3"/>
            <w:tcMar>
              <w:top w:w="110" w:type="dxa"/>
              <w:start w:w="130" w:type="dxa"/>
              <w:bottom w:w="110" w:type="dxa"/>
              <w:end w:w="130" w:type="dxa"/>
            </w:tcMar>
          </w:tcPr>
          <w:p>
            <w:pPr>
              <w:spacing w:after="0" w:line="252" w:lineRule="auto"/>
            </w:pPr>
            <w:r>
              <w:rPr>
                <w:sz w:val="17"/>
              </w:rPr>
              <w:t>Provides specialist people, standards and assurance</w:t>
            </w:r>
          </w:p>
        </w:tc>
        <w:tc>
          <w:tcPr>
            <w:tcW w:type="dxa" w:w="4392"/>
            <w:vAlign w:val="center"/>
            <w:shd w:fill="F5F5F3"/>
            <w:tcMar>
              <w:top w:w="110" w:type="dxa"/>
              <w:start w:w="130" w:type="dxa"/>
              <w:bottom w:w="110" w:type="dxa"/>
              <w:end w:w="130" w:type="dxa"/>
            </w:tcMar>
          </w:tcPr>
          <w:p>
            <w:pPr>
              <w:spacing w:after="0" w:line="252" w:lineRule="auto"/>
            </w:pPr>
            <w:r>
              <w:rPr>
                <w:sz w:val="17"/>
              </w:rPr>
              <w:t>Resolve resource conflicts and validate technical estimates</w:t>
            </w:r>
          </w:p>
        </w:tc>
      </w:tr>
      <w:tr>
        <w:tc>
          <w:tcPr>
            <w:tcW w:type="dxa" w:w="2088"/>
            <w:vAlign w:val="center"/>
            <w:tcMar>
              <w:top w:w="110" w:type="dxa"/>
              <w:start w:w="130" w:type="dxa"/>
              <w:bottom w:w="110" w:type="dxa"/>
              <w:end w:w="130" w:type="dxa"/>
            </w:tcMar>
          </w:tcPr>
          <w:p>
            <w:pPr>
              <w:spacing w:after="0" w:line="252" w:lineRule="auto"/>
            </w:pPr>
            <w:r>
              <w:rPr>
                <w:sz w:val="17"/>
              </w:rPr>
              <w:t>Reviewer or approver</w:t>
            </w:r>
          </w:p>
        </w:tc>
        <w:tc>
          <w:tcPr>
            <w:tcW w:type="dxa" w:w="4320"/>
            <w:vAlign w:val="center"/>
            <w:tcMar>
              <w:top w:w="110" w:type="dxa"/>
              <w:start w:w="130" w:type="dxa"/>
              <w:bottom w:w="110" w:type="dxa"/>
              <w:end w:w="130" w:type="dxa"/>
            </w:tcMar>
          </w:tcPr>
          <w:p>
            <w:pPr>
              <w:spacing w:after="0" w:line="252" w:lineRule="auto"/>
            </w:pPr>
            <w:r>
              <w:rPr>
                <w:sz w:val="17"/>
              </w:rPr>
              <w:t>Assesses an artifact or decision against criteria</w:t>
            </w:r>
          </w:p>
        </w:tc>
        <w:tc>
          <w:tcPr>
            <w:tcW w:type="dxa" w:w="4392"/>
            <w:vAlign w:val="center"/>
            <w:tcMar>
              <w:top w:w="110" w:type="dxa"/>
              <w:start w:w="130" w:type="dxa"/>
              <w:bottom w:w="110" w:type="dxa"/>
              <w:end w:w="130" w:type="dxa"/>
            </w:tcMar>
          </w:tcPr>
          <w:p>
            <w:pPr>
              <w:spacing w:after="0" w:line="252" w:lineRule="auto"/>
            </w:pPr>
            <w:r>
              <w:rPr>
                <w:sz w:val="17"/>
              </w:rPr>
              <w:t>Review the submitted version and record actionable comments</w:t>
            </w:r>
          </w:p>
        </w:tc>
      </w:tr>
      <w:tr>
        <w:tc>
          <w:tcPr>
            <w:tcW w:type="dxa" w:w="2088"/>
            <w:vAlign w:val="center"/>
            <w:shd w:fill="F5F5F3"/>
            <w:tcMar>
              <w:top w:w="110" w:type="dxa"/>
              <w:start w:w="130" w:type="dxa"/>
              <w:bottom w:w="110" w:type="dxa"/>
              <w:end w:w="130" w:type="dxa"/>
            </w:tcMar>
          </w:tcPr>
          <w:p>
            <w:pPr>
              <w:spacing w:after="0" w:line="252" w:lineRule="auto"/>
            </w:pPr>
            <w:r>
              <w:rPr>
                <w:sz w:val="17"/>
              </w:rPr>
              <w:t>Client or user representative</w:t>
            </w:r>
          </w:p>
        </w:tc>
        <w:tc>
          <w:tcPr>
            <w:tcW w:type="dxa" w:w="4320"/>
            <w:vAlign w:val="center"/>
            <w:shd w:fill="F5F5F3"/>
            <w:tcMar>
              <w:top w:w="110" w:type="dxa"/>
              <w:start w:w="130" w:type="dxa"/>
              <w:bottom w:w="110" w:type="dxa"/>
              <w:end w:w="130" w:type="dxa"/>
            </w:tcMar>
          </w:tcPr>
          <w:p>
            <w:pPr>
              <w:spacing w:after="0" w:line="252" w:lineRule="auto"/>
            </w:pPr>
            <w:r>
              <w:rPr>
                <w:sz w:val="17"/>
              </w:rPr>
              <w:t>Clarifies needs and validates outcomes</w:t>
            </w:r>
          </w:p>
        </w:tc>
        <w:tc>
          <w:tcPr>
            <w:tcW w:type="dxa" w:w="4392"/>
            <w:vAlign w:val="center"/>
            <w:shd w:fill="F5F5F3"/>
            <w:tcMar>
              <w:top w:w="110" w:type="dxa"/>
              <w:start w:w="130" w:type="dxa"/>
              <w:bottom w:w="110" w:type="dxa"/>
              <w:end w:w="130" w:type="dxa"/>
            </w:tcMar>
          </w:tcPr>
          <w:p>
            <w:pPr>
              <w:spacing w:after="0" w:line="252" w:lineRule="auto"/>
            </w:pPr>
            <w:r>
              <w:rPr>
                <w:sz w:val="17"/>
              </w:rPr>
              <w:t>Give timely feedback and confirm acceptance against agreed criteria</w:t>
            </w:r>
          </w:p>
        </w:tc>
      </w:tr>
      <w:tr>
        <w:tc>
          <w:tcPr>
            <w:tcW w:type="dxa" w:w="2088"/>
            <w:vAlign w:val="center"/>
            <w:tcMar>
              <w:top w:w="110" w:type="dxa"/>
              <w:start w:w="130" w:type="dxa"/>
              <w:bottom w:w="110" w:type="dxa"/>
              <w:end w:w="130" w:type="dxa"/>
            </w:tcMar>
          </w:tcPr>
          <w:p>
            <w:pPr>
              <w:spacing w:after="0" w:line="252" w:lineRule="auto"/>
            </w:pPr>
            <w:r>
              <w:rPr>
                <w:sz w:val="17"/>
              </w:rPr>
              <w:t>Supplier or consultant</w:t>
            </w:r>
          </w:p>
        </w:tc>
        <w:tc>
          <w:tcPr>
            <w:tcW w:type="dxa" w:w="4320"/>
            <w:vAlign w:val="center"/>
            <w:tcMar>
              <w:top w:w="110" w:type="dxa"/>
              <w:start w:w="130" w:type="dxa"/>
              <w:bottom w:w="110" w:type="dxa"/>
              <w:end w:w="130" w:type="dxa"/>
            </w:tcMar>
          </w:tcPr>
          <w:p>
            <w:pPr>
              <w:spacing w:after="0" w:line="252" w:lineRule="auto"/>
            </w:pPr>
            <w:r>
              <w:rPr>
                <w:sz w:val="17"/>
              </w:rPr>
              <w:t>Delivers contracted work or advice</w:t>
            </w:r>
          </w:p>
        </w:tc>
        <w:tc>
          <w:tcPr>
            <w:tcW w:type="dxa" w:w="4392"/>
            <w:vAlign w:val="center"/>
            <w:tcMar>
              <w:top w:w="110" w:type="dxa"/>
              <w:start w:w="130" w:type="dxa"/>
              <w:bottom w:w="110" w:type="dxa"/>
              <w:end w:w="130" w:type="dxa"/>
            </w:tcMar>
          </w:tcPr>
          <w:p>
            <w:pPr>
              <w:spacing w:after="0" w:line="252" w:lineRule="auto"/>
            </w:pPr>
            <w:r>
              <w:rPr>
                <w:sz w:val="17"/>
              </w:rPr>
              <w:t>Use agreed interfaces, protect information and disclose variance</w:t>
            </w:r>
          </w:p>
        </w:tc>
      </w:tr>
      <w:tr>
        <w:tc>
          <w:tcPr>
            <w:tcW w:type="dxa" w:w="2088"/>
            <w:vAlign w:val="center"/>
            <w:shd w:fill="F5F5F3"/>
            <w:tcMar>
              <w:top w:w="110" w:type="dxa"/>
              <w:start w:w="130" w:type="dxa"/>
              <w:bottom w:w="110" w:type="dxa"/>
              <w:end w:w="130" w:type="dxa"/>
            </w:tcMar>
          </w:tcPr>
          <w:p>
            <w:pPr>
              <w:spacing w:after="0" w:line="252" w:lineRule="auto"/>
            </w:pPr>
            <w:r>
              <w:rPr>
                <w:sz w:val="17"/>
              </w:rPr>
              <w:t>External observer</w:t>
            </w:r>
          </w:p>
        </w:tc>
        <w:tc>
          <w:tcPr>
            <w:tcW w:type="dxa" w:w="4320"/>
            <w:vAlign w:val="center"/>
            <w:shd w:fill="F5F5F3"/>
            <w:tcMar>
              <w:top w:w="110" w:type="dxa"/>
              <w:start w:w="130" w:type="dxa"/>
              <w:bottom w:w="110" w:type="dxa"/>
              <w:end w:w="130" w:type="dxa"/>
            </w:tcMar>
          </w:tcPr>
          <w:p>
            <w:pPr>
              <w:spacing w:after="0" w:line="252" w:lineRule="auto"/>
            </w:pPr>
            <w:r>
              <w:rPr>
                <w:sz w:val="17"/>
              </w:rPr>
              <w:t>Receives a permitted approved record</w:t>
            </w:r>
          </w:p>
        </w:tc>
        <w:tc>
          <w:tcPr>
            <w:tcW w:type="dxa" w:w="4392"/>
            <w:vAlign w:val="center"/>
            <w:shd w:fill="F5F5F3"/>
            <w:tcMar>
              <w:top w:w="110" w:type="dxa"/>
              <w:start w:w="130" w:type="dxa"/>
              <w:bottom w:w="110" w:type="dxa"/>
              <w:end w:w="130" w:type="dxa"/>
            </w:tcMar>
          </w:tcPr>
          <w:p>
            <w:pPr>
              <w:spacing w:after="0" w:line="252" w:lineRule="auto"/>
            </w:pPr>
            <w:r>
              <w:rPr>
                <w:sz w:val="17"/>
              </w:rPr>
              <w:t>Use the link only for its intended purpose and do not redistribute it</w:t>
            </w:r>
          </w:p>
        </w:tc>
      </w:tr>
    </w:tbl>
    <w:p>
      <w:pPr>
        <w:spacing w:after="20"/>
      </w:pPr>
    </w:p>
    <w:p>
      <w:pPr>
        <w:pStyle w:val="Heading1"/>
        <w:keepNext/>
      </w:pPr>
      <w:r>
        <w:t>Access and confidentiality</w:t>
      </w:r>
    </w:p>
    <w:p>
      <w:pPr>
        <w:pStyle w:val="ListBullet"/>
        <w:spacing w:after="60"/>
        <w:keepLines/>
      </w:pPr>
      <w:r>
        <w:t>Accept a workspace invitation only through the intended email account. The invitation is time-limited and bound to that address.</w:t>
      </w:r>
    </w:p>
    <w:p>
      <w:pPr>
        <w:pStyle w:val="ListBullet"/>
        <w:spacing w:after="60"/>
        <w:keepLines/>
      </w:pPr>
      <w:r>
        <w:t>Use your own account and complete any authenticator challenge. Report unexpected sessions or access immediately.</w:t>
      </w:r>
    </w:p>
    <w:p>
      <w:pPr>
        <w:pStyle w:val="ListBullet"/>
        <w:spacing w:after="60"/>
        <w:keepLines/>
      </w:pPr>
      <w:r>
        <w:t>Read the project confidentiality label and follow your organization's handling rules.</w:t>
      </w:r>
    </w:p>
    <w:p>
      <w:pPr>
        <w:pStyle w:val="ListBullet"/>
        <w:spacing w:after="60"/>
        <w:keepLines/>
      </w:pPr>
      <w:r>
        <w:t>Do not assume workspace membership permits access to every detail. Private project-manager stakeholder notes and some administrative records are restricted.</w:t>
      </w:r>
    </w:p>
    <w:p>
      <w:pPr>
        <w:pStyle w:val="ListBullet"/>
        <w:spacing w:after="60"/>
        <w:keepLines/>
      </w:pPr>
      <w:r>
        <w:t>External shares should point only to approved controlled-document versions. Links can expire, reach a download limit or be revoked.</w:t>
      </w:r>
    </w:p>
    <w:p>
      <w:pPr>
        <w:pStyle w:val="ListBullet"/>
        <w:spacing w:after="60"/>
        <w:keepLines/>
      </w:pPr>
      <w:r>
        <w:t>Do not upload personal, commercially sensitive or regulated information unless the organization has approved the platform and handling process for that data.</w:t>
      </w:r>
    </w:p>
    <w:p>
      <w:pPr>
        <w:pStyle w:val="Heading1"/>
        <w:keepNext/>
      </w:pPr>
      <w:r>
        <w:t>Understand the project before acting</w:t>
      </w:r>
    </w:p>
    <w:p>
      <w:pPr>
        <w:pStyle w:val="ListBullet"/>
        <w:spacing w:after="60"/>
        <w:keepLines/>
      </w:pPr>
      <w:r>
        <w:t>Read the Overview to understand the problem, outcome, sponsor, project manager, dates, approach and current readiness.</w:t>
      </w:r>
    </w:p>
    <w:p>
      <w:pPr>
        <w:pStyle w:val="ListBullet"/>
        <w:spacing w:after="60"/>
        <w:keepLines/>
      </w:pPr>
      <w:r>
        <w:t>Read the approved charter for objectives, scope, exclusions, authority and success criteria.</w:t>
      </w:r>
    </w:p>
    <w:p>
      <w:pPr>
        <w:pStyle w:val="ListBullet"/>
        <w:spacing w:after="60"/>
        <w:keepLines/>
      </w:pPr>
      <w:r>
        <w:t>Check the relevant requirement, WBS item, activity or work item before beginning work.</w:t>
      </w:r>
    </w:p>
    <w:p>
      <w:pPr>
        <w:pStyle w:val="ListBullet"/>
        <w:spacing w:after="60"/>
        <w:keepLines/>
      </w:pPr>
      <w:r>
        <w:t>Confirm the current approved version. A downloaded or emailed copy may have been superseded.</w:t>
      </w:r>
    </w:p>
    <w:p>
      <w:pPr>
        <w:pStyle w:val="ListBullet"/>
        <w:spacing w:after="60"/>
        <w:keepLines/>
      </w:pPr>
      <w:r>
        <w:t>Ask the project manager when a responsibility, due date, acceptance criterion or decision right is unclear.</w:t>
      </w:r>
    </w:p>
    <w:p>
      <w:pPr>
        <w:pStyle w:val="Heading1"/>
        <w:keepNext/>
      </w:pPr>
      <w:r>
        <w:t>Give a professional progress update</w:t>
      </w:r>
    </w:p>
    <w:p>
      <w:pPr>
        <w:keepLines/>
      </w:pPr>
      <w:r>
        <w:t>A useful update is factual, dated and connected to a commitment. It allows the project manager to forecast and act. Report what is complete, what remains, what evidence exists and what prevents progress.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520"/>
            <w:shd w:fill="17324D"/>
            <w:vAlign w:val="center"/>
            <w:tcMar>
              <w:top w:w="110" w:type="dxa"/>
              <w:start w:w="130" w:type="dxa"/>
              <w:bottom w:w="110" w:type="dxa"/>
              <w:end w:w="130" w:type="dxa"/>
            </w:tcMar>
          </w:tcPr>
          <w:p>
            <w:r>
              <w:rPr>
                <w:b/>
                <w:color w:val="FFFFFF"/>
                <w:sz w:val="18"/>
              </w:rPr>
              <w:t>Include</w:t>
            </w:r>
          </w:p>
        </w:tc>
        <w:tc>
          <w:tcPr>
            <w:tcW w:type="dxa" w:w="8280"/>
            <w:shd w:fill="17324D"/>
            <w:vAlign w:val="center"/>
            <w:tcMar>
              <w:top w:w="110" w:type="dxa"/>
              <w:start w:w="130" w:type="dxa"/>
              <w:bottom w:w="110" w:type="dxa"/>
              <w:end w:w="130" w:type="dxa"/>
            </w:tcMar>
          </w:tcPr>
          <w:p>
            <w:r>
              <w:rPr>
                <w:b/>
                <w:color w:val="FFFFFF"/>
                <w:sz w:val="18"/>
              </w:rPr>
              <w:t>Example</w:t>
            </w:r>
          </w:p>
        </w:tc>
      </w:tr>
      <w:tr>
        <w:tc>
          <w:tcPr>
            <w:tcW w:type="dxa" w:w="2520"/>
            <w:vAlign w:val="center"/>
            <w:tcMar>
              <w:top w:w="110" w:type="dxa"/>
              <w:start w:w="130" w:type="dxa"/>
              <w:bottom w:w="110" w:type="dxa"/>
              <w:end w:w="130" w:type="dxa"/>
            </w:tcMar>
          </w:tcPr>
          <w:p>
            <w:pPr>
              <w:spacing w:after="0" w:line="252" w:lineRule="auto"/>
            </w:pPr>
            <w:r>
              <w:rPr>
                <w:sz w:val="17"/>
              </w:rPr>
              <w:t>Reference</w:t>
            </w:r>
          </w:p>
        </w:tc>
        <w:tc>
          <w:tcPr>
            <w:tcW w:type="dxa" w:w="8280"/>
            <w:vAlign w:val="center"/>
            <w:tcMar>
              <w:top w:w="110" w:type="dxa"/>
              <w:start w:w="130" w:type="dxa"/>
              <w:bottom w:w="110" w:type="dxa"/>
              <w:end w:w="130" w:type="dxa"/>
            </w:tcMar>
          </w:tcPr>
          <w:p>
            <w:pPr>
              <w:spacing w:after="0" w:line="252" w:lineRule="auto"/>
            </w:pPr>
            <w:r>
              <w:rPr>
                <w:sz w:val="17"/>
              </w:rPr>
              <w:t>WI-014 or ACT-032</w:t>
            </w:r>
          </w:p>
        </w:tc>
      </w:tr>
      <w:tr>
        <w:tc>
          <w:tcPr>
            <w:tcW w:type="dxa" w:w="2520"/>
            <w:vAlign w:val="center"/>
            <w:shd w:fill="F5F5F3"/>
            <w:tcMar>
              <w:top w:w="110" w:type="dxa"/>
              <w:start w:w="130" w:type="dxa"/>
              <w:bottom w:w="110" w:type="dxa"/>
              <w:end w:w="130" w:type="dxa"/>
            </w:tcMar>
          </w:tcPr>
          <w:p>
            <w:pPr>
              <w:spacing w:after="0" w:line="252" w:lineRule="auto"/>
            </w:pPr>
            <w:r>
              <w:rPr>
                <w:sz w:val="17"/>
              </w:rPr>
              <w:t>Status at cut-off</w:t>
            </w:r>
          </w:p>
        </w:tc>
        <w:tc>
          <w:tcPr>
            <w:tcW w:type="dxa" w:w="8280"/>
            <w:vAlign w:val="center"/>
            <w:shd w:fill="F5F5F3"/>
            <w:tcMar>
              <w:top w:w="110" w:type="dxa"/>
              <w:start w:w="130" w:type="dxa"/>
              <w:bottom w:w="110" w:type="dxa"/>
              <w:end w:w="130" w:type="dxa"/>
            </w:tcMar>
          </w:tcPr>
          <w:p>
            <w:pPr>
              <w:spacing w:after="0" w:line="252" w:lineRule="auto"/>
            </w:pPr>
            <w:r>
              <w:rPr>
                <w:sz w:val="17"/>
              </w:rPr>
              <w:t>In progress at 9 September 2026</w:t>
            </w:r>
          </w:p>
        </w:tc>
      </w:tr>
      <w:tr>
        <w:tc>
          <w:tcPr>
            <w:tcW w:type="dxa" w:w="2520"/>
            <w:vAlign w:val="center"/>
            <w:tcMar>
              <w:top w:w="110" w:type="dxa"/>
              <w:start w:w="130" w:type="dxa"/>
              <w:bottom w:w="110" w:type="dxa"/>
              <w:end w:w="130" w:type="dxa"/>
            </w:tcMar>
          </w:tcPr>
          <w:p>
            <w:pPr>
              <w:spacing w:after="0" w:line="252" w:lineRule="auto"/>
            </w:pPr>
            <w:r>
              <w:rPr>
                <w:sz w:val="17"/>
              </w:rPr>
              <w:t>Completed work</w:t>
            </w:r>
          </w:p>
        </w:tc>
        <w:tc>
          <w:tcPr>
            <w:tcW w:type="dxa" w:w="8280"/>
            <w:vAlign w:val="center"/>
            <w:tcMar>
              <w:top w:w="110" w:type="dxa"/>
              <w:start w:w="130" w:type="dxa"/>
              <w:bottom w:w="110" w:type="dxa"/>
              <w:end w:w="130" w:type="dxa"/>
            </w:tcMar>
          </w:tcPr>
          <w:p>
            <w:pPr>
              <w:spacing w:after="0" w:line="252" w:lineRule="auto"/>
            </w:pPr>
            <w:r>
              <w:rPr>
                <w:sz w:val="17"/>
              </w:rPr>
              <w:t>Draft reviewed by Legal and comments incorporated</w:t>
            </w:r>
          </w:p>
        </w:tc>
      </w:tr>
      <w:tr>
        <w:tc>
          <w:tcPr>
            <w:tcW w:type="dxa" w:w="2520"/>
            <w:vAlign w:val="center"/>
            <w:shd w:fill="F5F5F3"/>
            <w:tcMar>
              <w:top w:w="110" w:type="dxa"/>
              <w:start w:w="130" w:type="dxa"/>
              <w:bottom w:w="110" w:type="dxa"/>
              <w:end w:w="130" w:type="dxa"/>
            </w:tcMar>
          </w:tcPr>
          <w:p>
            <w:pPr>
              <w:spacing w:after="0" w:line="252" w:lineRule="auto"/>
            </w:pPr>
            <w:r>
              <w:rPr>
                <w:sz w:val="17"/>
              </w:rPr>
              <w:t>Remaining work</w:t>
            </w:r>
          </w:p>
        </w:tc>
        <w:tc>
          <w:tcPr>
            <w:tcW w:type="dxa" w:w="8280"/>
            <w:vAlign w:val="center"/>
            <w:shd w:fill="F5F5F3"/>
            <w:tcMar>
              <w:top w:w="110" w:type="dxa"/>
              <w:start w:w="130" w:type="dxa"/>
              <w:bottom w:w="110" w:type="dxa"/>
              <w:end w:w="130" w:type="dxa"/>
            </w:tcMar>
          </w:tcPr>
          <w:p>
            <w:pPr>
              <w:spacing w:after="0" w:line="252" w:lineRule="auto"/>
            </w:pPr>
            <w:r>
              <w:rPr>
                <w:sz w:val="17"/>
              </w:rPr>
              <w:t>Finance validation and sponsor acceptance</w:t>
            </w:r>
          </w:p>
        </w:tc>
      </w:tr>
      <w:tr>
        <w:tc>
          <w:tcPr>
            <w:tcW w:type="dxa" w:w="2520"/>
            <w:vAlign w:val="center"/>
            <w:tcMar>
              <w:top w:w="110" w:type="dxa"/>
              <w:start w:w="130" w:type="dxa"/>
              <w:bottom w:w="110" w:type="dxa"/>
              <w:end w:w="130" w:type="dxa"/>
            </w:tcMar>
          </w:tcPr>
          <w:p>
            <w:pPr>
              <w:spacing w:after="0" w:line="252" w:lineRule="auto"/>
            </w:pPr>
            <w:r>
              <w:rPr>
                <w:sz w:val="17"/>
              </w:rPr>
              <w:t>Forecast</w:t>
            </w:r>
          </w:p>
        </w:tc>
        <w:tc>
          <w:tcPr>
            <w:tcW w:type="dxa" w:w="8280"/>
            <w:vAlign w:val="center"/>
            <w:tcMar>
              <w:top w:w="110" w:type="dxa"/>
              <w:start w:w="130" w:type="dxa"/>
              <w:bottom w:w="110" w:type="dxa"/>
              <w:end w:w="130" w:type="dxa"/>
            </w:tcMar>
          </w:tcPr>
          <w:p>
            <w:pPr>
              <w:spacing w:after="0" w:line="252" w:lineRule="auto"/>
            </w:pPr>
            <w:r>
              <w:rPr>
                <w:sz w:val="17"/>
              </w:rPr>
              <w:t>Ready for review on 12 September if cost data arrives by 10 September</w:t>
            </w:r>
          </w:p>
        </w:tc>
      </w:tr>
      <w:tr>
        <w:tc>
          <w:tcPr>
            <w:tcW w:type="dxa" w:w="2520"/>
            <w:vAlign w:val="center"/>
            <w:shd w:fill="F5F5F3"/>
            <w:tcMar>
              <w:top w:w="110" w:type="dxa"/>
              <w:start w:w="130" w:type="dxa"/>
              <w:bottom w:w="110" w:type="dxa"/>
              <w:end w:w="130" w:type="dxa"/>
            </w:tcMar>
          </w:tcPr>
          <w:p>
            <w:pPr>
              <w:spacing w:after="0" w:line="252" w:lineRule="auto"/>
            </w:pPr>
            <w:r>
              <w:rPr>
                <w:sz w:val="17"/>
              </w:rPr>
              <w:t>Blocker</w:t>
            </w:r>
          </w:p>
        </w:tc>
        <w:tc>
          <w:tcPr>
            <w:tcW w:type="dxa" w:w="8280"/>
            <w:vAlign w:val="center"/>
            <w:shd w:fill="F5F5F3"/>
            <w:tcMar>
              <w:top w:w="110" w:type="dxa"/>
              <w:start w:w="130" w:type="dxa"/>
              <w:bottom w:w="110" w:type="dxa"/>
              <w:end w:w="130" w:type="dxa"/>
            </w:tcMar>
          </w:tcPr>
          <w:p>
            <w:pPr>
              <w:spacing w:after="0" w:line="252" w:lineRule="auto"/>
            </w:pPr>
            <w:r>
              <w:rPr>
                <w:sz w:val="17"/>
              </w:rPr>
              <w:t>Supplier has not provided the required certificate</w:t>
            </w:r>
          </w:p>
        </w:tc>
      </w:tr>
      <w:tr>
        <w:tc>
          <w:tcPr>
            <w:tcW w:type="dxa" w:w="2520"/>
            <w:vAlign w:val="center"/>
            <w:tcMar>
              <w:top w:w="110" w:type="dxa"/>
              <w:start w:w="130" w:type="dxa"/>
              <w:bottom w:w="110" w:type="dxa"/>
              <w:end w:w="130" w:type="dxa"/>
            </w:tcMar>
          </w:tcPr>
          <w:p>
            <w:pPr>
              <w:spacing w:after="0" w:line="252" w:lineRule="auto"/>
            </w:pPr>
            <w:r>
              <w:rPr>
                <w:sz w:val="17"/>
              </w:rPr>
              <w:t>Evidence</w:t>
            </w:r>
          </w:p>
        </w:tc>
        <w:tc>
          <w:tcPr>
            <w:tcW w:type="dxa" w:w="8280"/>
            <w:vAlign w:val="center"/>
            <w:tcMar>
              <w:top w:w="110" w:type="dxa"/>
              <w:start w:w="130" w:type="dxa"/>
              <w:bottom w:w="110" w:type="dxa"/>
              <w:end w:w="130" w:type="dxa"/>
            </w:tcMar>
          </w:tcPr>
          <w:p>
            <w:pPr>
              <w:spacing w:after="0" w:line="252" w:lineRule="auto"/>
            </w:pPr>
            <w:r>
              <w:rPr>
                <w:sz w:val="17"/>
              </w:rPr>
              <w:t>Approved drawing reference, test result, signed acceptance or controlled-document version</w:t>
            </w:r>
          </w:p>
        </w:tc>
      </w:tr>
      <w:tr>
        <w:tc>
          <w:tcPr>
            <w:tcW w:type="dxa" w:w="2520"/>
            <w:vAlign w:val="center"/>
            <w:shd w:fill="F5F5F3"/>
            <w:tcMar>
              <w:top w:w="110" w:type="dxa"/>
              <w:start w:w="130" w:type="dxa"/>
              <w:bottom w:w="110" w:type="dxa"/>
              <w:end w:w="130" w:type="dxa"/>
            </w:tcMar>
          </w:tcPr>
          <w:p>
            <w:pPr>
              <w:spacing w:after="0" w:line="252" w:lineRule="auto"/>
            </w:pPr>
            <w:r>
              <w:rPr>
                <w:sz w:val="17"/>
              </w:rPr>
              <w:t>Support needed</w:t>
            </w:r>
          </w:p>
        </w:tc>
        <w:tc>
          <w:tcPr>
            <w:tcW w:type="dxa" w:w="8280"/>
            <w:vAlign w:val="center"/>
            <w:shd w:fill="F5F5F3"/>
            <w:tcMar>
              <w:top w:w="110" w:type="dxa"/>
              <w:start w:w="130" w:type="dxa"/>
              <w:bottom w:w="110" w:type="dxa"/>
              <w:end w:w="130" w:type="dxa"/>
            </w:tcMar>
          </w:tcPr>
          <w:p>
            <w:pPr>
              <w:spacing w:after="0" w:line="252" w:lineRule="auto"/>
            </w:pPr>
            <w:r>
              <w:rPr>
                <w:sz w:val="17"/>
              </w:rPr>
              <w:t>Procurement lead to escalate the certificate by 10 September</w:t>
            </w:r>
          </w:p>
        </w:tc>
      </w:tr>
    </w:tbl>
    <w:p>
      <w:pPr>
        <w:spacing w:after="20"/>
      </w:pPr>
    </w:p>
    <w:p>
      <w:pPr>
        <w:keepLines/>
      </w:pPr>
      <w:r>
        <w:t>Do not report 90 percent complete for several weeks without defining remaining work. Percent complete must reflect observable progress. A work item marked Done should satisfy its acceptance criteria and cite evidence.</w:t>
      </w:r>
    </w:p>
    <w:p>
      <w:pPr>
        <w:pStyle w:val="Heading1"/>
        <w:keepNext/>
      </w:pPr>
      <w:r>
        <w:t>Raise risks issues and changes correctly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3168"/>
            <w:shd w:fill="17324D"/>
            <w:vAlign w:val="center"/>
            <w:tcMar>
              <w:top w:w="110" w:type="dxa"/>
              <w:start w:w="130" w:type="dxa"/>
              <w:bottom w:w="110" w:type="dxa"/>
              <w:end w:w="130" w:type="dxa"/>
            </w:tcMar>
          </w:tcPr>
          <w:p>
            <w:r>
              <w:rPr>
                <w:b/>
                <w:color w:val="FFFFFF"/>
                <w:sz w:val="18"/>
              </w:rPr>
              <w:t>Situation</w:t>
            </w:r>
          </w:p>
        </w:tc>
        <w:tc>
          <w:tcPr>
            <w:tcW w:type="dxa" w:w="1944"/>
            <w:shd w:fill="17324D"/>
            <w:vAlign w:val="center"/>
            <w:tcMar>
              <w:top w:w="110" w:type="dxa"/>
              <w:start w:w="130" w:type="dxa"/>
              <w:bottom w:w="110" w:type="dxa"/>
              <w:end w:w="130" w:type="dxa"/>
            </w:tcMar>
          </w:tcPr>
          <w:p>
            <w:r>
              <w:rPr>
                <w:b/>
                <w:color w:val="FFFFFF"/>
                <w:sz w:val="18"/>
              </w:rPr>
              <w:t>Use</w:t>
            </w:r>
          </w:p>
        </w:tc>
        <w:tc>
          <w:tcPr>
            <w:tcW w:type="dxa" w:w="5688"/>
            <w:shd w:fill="17324D"/>
            <w:vAlign w:val="center"/>
            <w:tcMar>
              <w:top w:w="110" w:type="dxa"/>
              <w:start w:w="130" w:type="dxa"/>
              <w:bottom w:w="110" w:type="dxa"/>
              <w:end w:w="130" w:type="dxa"/>
            </w:tcMar>
          </w:tcPr>
          <w:p>
            <w:r>
              <w:rPr>
                <w:b/>
                <w:color w:val="FFFFFF"/>
                <w:sz w:val="18"/>
              </w:rPr>
              <w:t>What to provide</w:t>
            </w:r>
          </w:p>
        </w:tc>
      </w:tr>
      <w:tr>
        <w:tc>
          <w:tcPr>
            <w:tcW w:type="dxa" w:w="3168"/>
            <w:vAlign w:val="center"/>
            <w:tcMar>
              <w:top w:w="110" w:type="dxa"/>
              <w:start w:w="130" w:type="dxa"/>
              <w:bottom w:w="110" w:type="dxa"/>
              <w:end w:w="130" w:type="dxa"/>
            </w:tcMar>
          </w:tcPr>
          <w:p>
            <w:pPr>
              <w:spacing w:after="0" w:line="252" w:lineRule="auto"/>
            </w:pPr>
            <w:r>
              <w:rPr>
                <w:sz w:val="17"/>
              </w:rPr>
              <w:t>Something uncertain may happen</w:t>
            </w:r>
          </w:p>
        </w:tc>
        <w:tc>
          <w:tcPr>
            <w:tcW w:type="dxa" w:w="1944"/>
            <w:vAlign w:val="center"/>
            <w:tcMar>
              <w:top w:w="110" w:type="dxa"/>
              <w:start w:w="130" w:type="dxa"/>
              <w:bottom w:w="110" w:type="dxa"/>
              <w:end w:w="130" w:type="dxa"/>
            </w:tcMar>
          </w:tcPr>
          <w:p>
            <w:pPr>
              <w:spacing w:after="0" w:line="252" w:lineRule="auto"/>
            </w:pPr>
            <w:r>
              <w:rPr>
                <w:sz w:val="17"/>
              </w:rPr>
              <w:t>Risk</w:t>
            </w:r>
          </w:p>
        </w:tc>
        <w:tc>
          <w:tcPr>
            <w:tcW w:type="dxa" w:w="5688"/>
            <w:vAlign w:val="center"/>
            <w:tcMar>
              <w:top w:w="110" w:type="dxa"/>
              <w:start w:w="130" w:type="dxa"/>
              <w:bottom w:w="110" w:type="dxa"/>
              <w:end w:w="130" w:type="dxa"/>
            </w:tcMar>
          </w:tcPr>
          <w:p>
            <w:pPr>
              <w:spacing w:after="0" w:line="252" w:lineRule="auto"/>
            </w:pPr>
            <w:r>
              <w:rPr>
                <w:sz w:val="17"/>
              </w:rPr>
              <w:t>Cause, event, potential impact, timing, probability and suggested response</w:t>
            </w:r>
          </w:p>
        </w:tc>
      </w:tr>
      <w:tr>
        <w:tc>
          <w:tcPr>
            <w:tcW w:type="dxa" w:w="3168"/>
            <w:vAlign w:val="center"/>
            <w:shd w:fill="F5F5F3"/>
            <w:tcMar>
              <w:top w:w="110" w:type="dxa"/>
              <w:start w:w="130" w:type="dxa"/>
              <w:bottom w:w="110" w:type="dxa"/>
              <w:end w:w="130" w:type="dxa"/>
            </w:tcMar>
          </w:tcPr>
          <w:p>
            <w:pPr>
              <w:spacing w:after="0" w:line="252" w:lineRule="auto"/>
            </w:pPr>
            <w:r>
              <w:rPr>
                <w:sz w:val="17"/>
              </w:rPr>
              <w:t>A problem has already happened</w:t>
            </w:r>
          </w:p>
        </w:tc>
        <w:tc>
          <w:tcPr>
            <w:tcW w:type="dxa" w:w="1944"/>
            <w:vAlign w:val="center"/>
            <w:shd w:fill="F5F5F3"/>
            <w:tcMar>
              <w:top w:w="110" w:type="dxa"/>
              <w:start w:w="130" w:type="dxa"/>
              <w:bottom w:w="110" w:type="dxa"/>
              <w:end w:w="130" w:type="dxa"/>
            </w:tcMar>
          </w:tcPr>
          <w:p>
            <w:pPr>
              <w:spacing w:after="0" w:line="252" w:lineRule="auto"/>
            </w:pPr>
            <w:r>
              <w:rPr>
                <w:sz w:val="17"/>
              </w:rPr>
              <w:t>Issue</w:t>
            </w:r>
          </w:p>
        </w:tc>
        <w:tc>
          <w:tcPr>
            <w:tcW w:type="dxa" w:w="5688"/>
            <w:vAlign w:val="center"/>
            <w:shd w:fill="F5F5F3"/>
            <w:tcMar>
              <w:top w:w="110" w:type="dxa"/>
              <w:start w:w="130" w:type="dxa"/>
              <w:bottom w:w="110" w:type="dxa"/>
              <w:end w:w="130" w:type="dxa"/>
            </w:tcMar>
          </w:tcPr>
          <w:p>
            <w:pPr>
              <w:spacing w:after="0" w:line="252" w:lineRule="auto"/>
            </w:pPr>
            <w:r>
              <w:rPr>
                <w:sz w:val="17"/>
              </w:rPr>
              <w:t>Facts, current impact, owner needed, urgency and proposed resolution</w:t>
            </w:r>
          </w:p>
        </w:tc>
      </w:tr>
      <w:tr>
        <w:tc>
          <w:tcPr>
            <w:tcW w:type="dxa" w:w="3168"/>
            <w:vAlign w:val="center"/>
            <w:tcMar>
              <w:top w:w="110" w:type="dxa"/>
              <w:start w:w="130" w:type="dxa"/>
              <w:bottom w:w="110" w:type="dxa"/>
              <w:end w:w="130" w:type="dxa"/>
            </w:tcMar>
          </w:tcPr>
          <w:p>
            <w:pPr>
              <w:spacing w:after="0" w:line="252" w:lineRule="auto"/>
            </w:pPr>
            <w:r>
              <w:rPr>
                <w:sz w:val="17"/>
              </w:rPr>
              <w:t>An approved commitment may need alteration</w:t>
            </w:r>
          </w:p>
        </w:tc>
        <w:tc>
          <w:tcPr>
            <w:tcW w:type="dxa" w:w="1944"/>
            <w:vAlign w:val="center"/>
            <w:tcMar>
              <w:top w:w="110" w:type="dxa"/>
              <w:start w:w="130" w:type="dxa"/>
              <w:bottom w:w="110" w:type="dxa"/>
              <w:end w:w="130" w:type="dxa"/>
            </w:tcMar>
          </w:tcPr>
          <w:p>
            <w:pPr>
              <w:spacing w:after="0" w:line="252" w:lineRule="auto"/>
            </w:pPr>
            <w:r>
              <w:rPr>
                <w:sz w:val="17"/>
              </w:rPr>
              <w:t>Change request</w:t>
            </w:r>
          </w:p>
        </w:tc>
        <w:tc>
          <w:tcPr>
            <w:tcW w:type="dxa" w:w="5688"/>
            <w:vAlign w:val="center"/>
            <w:tcMar>
              <w:top w:w="110" w:type="dxa"/>
              <w:start w:w="130" w:type="dxa"/>
              <w:bottom w:w="110" w:type="dxa"/>
              <w:end w:w="130" w:type="dxa"/>
            </w:tcMar>
          </w:tcPr>
          <w:p>
            <w:pPr>
              <w:spacing w:after="0" w:line="252" w:lineRule="auto"/>
            </w:pPr>
            <w:r>
              <w:rPr>
                <w:sz w:val="17"/>
              </w:rPr>
              <w:t>Reason, affected scope/date/cost/quality/risk and available options</w:t>
            </w:r>
          </w:p>
        </w:tc>
      </w:tr>
      <w:tr>
        <w:tc>
          <w:tcPr>
            <w:tcW w:type="dxa" w:w="3168"/>
            <w:vAlign w:val="center"/>
            <w:shd w:fill="F5F5F3"/>
            <w:tcMar>
              <w:top w:w="110" w:type="dxa"/>
              <w:start w:w="130" w:type="dxa"/>
              <w:bottom w:w="110" w:type="dxa"/>
              <w:end w:w="130" w:type="dxa"/>
            </w:tcMar>
          </w:tcPr>
          <w:p>
            <w:pPr>
              <w:spacing w:after="0" w:line="252" w:lineRule="auto"/>
            </w:pPr>
            <w:r>
              <w:rPr>
                <w:sz w:val="17"/>
              </w:rPr>
              <w:t>You cannot continue assigned work</w:t>
            </w:r>
          </w:p>
        </w:tc>
        <w:tc>
          <w:tcPr>
            <w:tcW w:type="dxa" w:w="1944"/>
            <w:vAlign w:val="center"/>
            <w:shd w:fill="F5F5F3"/>
            <w:tcMar>
              <w:top w:w="110" w:type="dxa"/>
              <w:start w:w="130" w:type="dxa"/>
              <w:bottom w:w="110" w:type="dxa"/>
              <w:end w:w="130" w:type="dxa"/>
            </w:tcMar>
          </w:tcPr>
          <w:p>
            <w:pPr>
              <w:spacing w:after="0" w:line="252" w:lineRule="auto"/>
            </w:pPr>
            <w:r>
              <w:rPr>
                <w:sz w:val="17"/>
              </w:rPr>
              <w:t>Blocker on the work item</w:t>
            </w:r>
          </w:p>
        </w:tc>
        <w:tc>
          <w:tcPr>
            <w:tcW w:type="dxa" w:w="5688"/>
            <w:vAlign w:val="center"/>
            <w:shd w:fill="F5F5F3"/>
            <w:tcMar>
              <w:top w:w="110" w:type="dxa"/>
              <w:start w:w="130" w:type="dxa"/>
              <w:bottom w:w="110" w:type="dxa"/>
              <w:end w:w="130" w:type="dxa"/>
            </w:tcMar>
          </w:tcPr>
          <w:p>
            <w:pPr>
              <w:spacing w:after="0" w:line="252" w:lineRule="auto"/>
            </w:pPr>
            <w:r>
              <w:rPr>
                <w:sz w:val="17"/>
              </w:rPr>
              <w:t>Specific dependency, person needed and latest useful resolution date</w:t>
            </w:r>
          </w:p>
        </w:tc>
      </w:tr>
    </w:tbl>
    <w:p>
      <w:pPr>
        <w:spacing w:after="20"/>
      </w:pPr>
    </w:p>
    <w:p>
      <w:pPr>
        <w:keepLines/>
      </w:pPr>
      <w:r>
        <w:t>Raise matters early. Do not wait for the next status meeting when safety, legal compliance, information security, material cost, critical-path timing or reputation may be affected. Use the organization's urgent escalation route in addition to the platform when immediate action is required.</w:t>
      </w:r>
    </w:p>
    <w:p>
      <w:pPr>
        <w:pStyle w:val="Heading1"/>
        <w:keepNext/>
      </w:pPr>
      <w:r>
        <w:t>Participate in agile or hybrid delivery</w:t>
      </w:r>
    </w:p>
    <w:p>
      <w:pPr>
        <w:pStyle w:val="ListBullet"/>
        <w:spacing w:after="60"/>
        <w:keepLines/>
      </w:pPr>
      <w:r>
        <w:t>Understand the iteration or stage goal before accepting work.</w:t>
      </w:r>
    </w:p>
    <w:p>
      <w:pPr>
        <w:pStyle w:val="ListBullet"/>
        <w:spacing w:after="60"/>
        <w:keepLines/>
      </w:pPr>
      <w:r>
        <w:t>Confirm the work item meets the definition of ready: its purpose, owner, inputs and acceptance criteria are clear.</w:t>
      </w:r>
    </w:p>
    <w:p>
      <w:pPr>
        <w:pStyle w:val="ListBullet"/>
        <w:spacing w:after="60"/>
        <w:keepLines/>
      </w:pPr>
      <w:r>
        <w:t>Respect the WIP limit. Finish or unblock current priority work before starting additional items.</w:t>
      </w:r>
    </w:p>
    <w:p>
      <w:pPr>
        <w:pStyle w:val="ListBullet"/>
        <w:spacing w:after="60"/>
        <w:keepLines/>
      </w:pPr>
      <w:r>
        <w:t>Update status honestly: Backlog, Ready, In progress, Review, Blocked, Done or Cancelled.</w:t>
      </w:r>
    </w:p>
    <w:p>
      <w:pPr>
        <w:pStyle w:val="ListBullet"/>
        <w:spacing w:after="60"/>
        <w:keepLines/>
      </w:pPr>
      <w:r>
        <w:t>Bring completed evidence to the review. Feedback may create revised work; it does not rewrite the completed iteration's history.</w:t>
      </w:r>
    </w:p>
    <w:p>
      <w:pPr>
        <w:pStyle w:val="ListBullet"/>
        <w:spacing w:after="60"/>
        <w:keepLines/>
      </w:pPr>
      <w:r>
        <w:t>Use the retrospective to identify a practical process change, then apply it in the next cycle.</w:t>
      </w:r>
    </w:p>
    <w:p>
      <w:pPr>
        <w:pStyle w:val="Heading1"/>
        <w:keepNext/>
      </w:pPr>
      <w:r>
        <w:t>Participate in reviews and approvals</w:t>
      </w:r>
    </w:p>
    <w:p>
      <w:pPr>
        <w:keepLines/>
      </w:pPr>
      <w:r>
        <w:t>Review against stated criteria, not personal preference. Read the current submitted version, examine evidence and identify whether a comment is mandatory, recommended or a question. State the affected section and the action required.</w:t>
      </w:r>
    </w:p>
    <w:p>
      <w:pPr>
        <w:pStyle w:val="ListBullet"/>
        <w:spacing w:after="60"/>
        <w:keepLines/>
      </w:pPr>
      <w:r>
        <w:t>Approve only within your delegated authority.</w:t>
      </w:r>
    </w:p>
    <w:p>
      <w:pPr>
        <w:pStyle w:val="ListBullet"/>
        <w:spacing w:after="60"/>
        <w:keepLines/>
      </w:pPr>
      <w:r>
        <w:t>Do not give informal approval in a meeting if the formal record requires a platform decision.</w:t>
      </w:r>
    </w:p>
    <w:p>
      <w:pPr>
        <w:pStyle w:val="ListBullet"/>
        <w:spacing w:after="60"/>
        <w:keepLines/>
      </w:pPr>
      <w:r>
        <w:t>When requesting changes, explain what must change and why the current evidence is insufficient.</w:t>
      </w:r>
    </w:p>
    <w:p>
      <w:pPr>
        <w:pStyle w:val="ListBullet"/>
        <w:spacing w:after="60"/>
        <w:keepLines/>
      </w:pPr>
      <w:r>
        <w:t>Disclose conflicts of interest and do not approve your own work where independent review is required.</w:t>
      </w:r>
    </w:p>
    <w:p>
      <w:pPr>
        <w:pStyle w:val="ListBullet"/>
        <w:spacing w:after="60"/>
        <w:keepLines/>
      </w:pPr>
      <w:r>
        <w:t>Meet the decision deadline or tell the project manager immediately when more time or evidence is necessary.</w:t>
      </w:r>
    </w:p>
    <w:p>
      <w:pPr>
        <w:pStyle w:val="Heading1"/>
        <w:keepNext/>
      </w:pPr>
      <w:r>
        <w:t>Use documents and external shares</w:t>
      </w:r>
    </w:p>
    <w:p>
      <w:pPr>
        <w:pStyle w:val="ListBullet"/>
        <w:spacing w:after="60"/>
        <w:keepLines/>
      </w:pPr>
      <w:r>
        <w:t>A controlled document has an ID, status and version. Draft is working content; In review awaits assessment; Approved is immutable; Archived is retained but no longer current.</w:t>
      </w:r>
    </w:p>
    <w:p>
      <w:pPr>
        <w:pStyle w:val="ListBullet"/>
        <w:spacing w:after="60"/>
        <w:keepLines/>
      </w:pPr>
      <w:r>
        <w:t>Check the document ID and version before relying on a file.</w:t>
      </w:r>
    </w:p>
    <w:p>
      <w:pPr>
        <w:pStyle w:val="ListBullet"/>
        <w:spacing w:after="60"/>
        <w:keepLines/>
      </w:pPr>
      <w:r>
        <w:t>Use private attachments for authorized working files and approved controlled exports for formal records.</w:t>
      </w:r>
    </w:p>
    <w:p>
      <w:pPr>
        <w:pStyle w:val="ListBullet"/>
        <w:spacing w:after="60"/>
        <w:keepLines/>
      </w:pPr>
      <w:r>
        <w:t>An external share may expose only the approved version and format selected by the sender. Do not modify the URL or attempt to discover other content.</w:t>
      </w:r>
    </w:p>
    <w:p>
      <w:pPr>
        <w:pStyle w:val="ListBullet"/>
        <w:spacing w:after="60"/>
        <w:keepLines/>
      </w:pPr>
      <w:r>
        <w:t>Tell the sender if a share reaches its limit, expires or appears to expose the wrong information. Do not ask someone to bypass the control by forwarding unrestricted copies.</w:t>
      </w:r>
    </w:p>
    <w:p>
      <w:pPr>
        <w:pStyle w:val="Heading1"/>
        <w:keepNext/>
      </w:pPr>
      <w:r>
        <w:t>Corporate communication standards</w:t>
      </w:r>
    </w:p>
    <w:p>
      <w:pPr>
        <w:pStyle w:val="ListBullet"/>
        <w:spacing w:after="60"/>
        <w:keepLines/>
      </w:pPr>
      <w:r>
        <w:t>Use the project code and record reference in messages and meeting notes.</w:t>
      </w:r>
    </w:p>
    <w:p>
      <w:pPr>
        <w:pStyle w:val="ListBullet"/>
        <w:spacing w:after="60"/>
        <w:keepLines/>
      </w:pPr>
      <w:r>
        <w:t>Separate fact, assumption, forecast, opinion and decision.</w:t>
      </w:r>
    </w:p>
    <w:p>
      <w:pPr>
        <w:pStyle w:val="ListBullet"/>
        <w:spacing w:after="60"/>
        <w:keepLines/>
      </w:pPr>
      <w:r>
        <w:t>State the owner and due date for every action.</w:t>
      </w:r>
    </w:p>
    <w:p>
      <w:pPr>
        <w:pStyle w:val="ListBullet"/>
        <w:spacing w:after="60"/>
        <w:keepLines/>
      </w:pPr>
      <w:r>
        <w:t>Use concise subject lines and put the requested decision near the beginning.</w:t>
      </w:r>
    </w:p>
    <w:p>
      <w:pPr>
        <w:pStyle w:val="ListBullet"/>
        <w:spacing w:after="60"/>
        <w:keepLines/>
      </w:pPr>
      <w:r>
        <w:t>Avoid parallel private records that conflict with the current project record. Send the project manager the approved update for incorporation.</w:t>
      </w:r>
    </w:p>
    <w:p>
      <w:pPr>
        <w:pStyle w:val="ListBullet"/>
        <w:spacing w:after="60"/>
        <w:keepLines/>
      </w:pPr>
      <w:r>
        <w:t>Challenge respectfully with evidence. Escalation should protect the outcome, not assign blame.</w:t>
      </w:r>
    </w:p>
    <w:p>
      <w:pPr>
        <w:pStyle w:val="Heading1"/>
        <w:keepNext/>
      </w:pPr>
      <w:r>
        <w:t>Meeting participation</w:t>
      </w:r>
    </w:p>
    <w:p>
      <w:pPr>
        <w:pStyle w:val="ListBullet"/>
        <w:spacing w:after="60"/>
        <w:keepLines/>
      </w:pPr>
      <w:r>
        <w:t>Read the agenda and decision papers before the meeting.</w:t>
      </w:r>
    </w:p>
    <w:p>
      <w:pPr>
        <w:pStyle w:val="ListBullet"/>
        <w:spacing w:after="60"/>
        <w:keepLines/>
      </w:pPr>
      <w:r>
        <w:t>Arrive prepared to state status, evidence, forecast, blocker and support needed.</w:t>
      </w:r>
    </w:p>
    <w:p>
      <w:pPr>
        <w:pStyle w:val="ListBullet"/>
        <w:spacing w:after="60"/>
        <w:keepLines/>
      </w:pPr>
      <w:r>
        <w:t>Confirm decisions aloud, including owner, effective date and conditions.</w:t>
      </w:r>
    </w:p>
    <w:p>
      <w:pPr>
        <w:pStyle w:val="ListBullet"/>
        <w:spacing w:after="60"/>
        <w:keepLines/>
      </w:pPr>
      <w:r>
        <w:t>Review assigned actions after the meeting and correct misunderstandings promptly.</w:t>
      </w:r>
    </w:p>
    <w:p>
      <w:pPr>
        <w:pStyle w:val="ListBullet"/>
        <w:spacing w:after="60"/>
        <w:keepLines/>
      </w:pPr>
      <w:r>
        <w:t>ArkHimar PM does not yet include a normalized meeting module. Use the approved meeting record, then update the relevant platform registers.</w:t>
      </w:r>
    </w:p>
    <w:p>
      <w:pPr>
        <w:pStyle w:val="Heading1"/>
        <w:keepNext/>
      </w:pPr>
      <w:r>
        <w:t>What different access methods allow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2376"/>
            <w:shd w:fill="17324D"/>
            <w:vAlign w:val="center"/>
            <w:tcMar>
              <w:top w:w="110" w:type="dxa"/>
              <w:start w:w="130" w:type="dxa"/>
              <w:bottom w:w="110" w:type="dxa"/>
              <w:end w:w="130" w:type="dxa"/>
            </w:tcMar>
          </w:tcPr>
          <w:p>
            <w:r>
              <w:rPr>
                <w:b/>
                <w:color w:val="FFFFFF"/>
                <w:sz w:val="18"/>
              </w:rPr>
              <w:t>Access method</w:t>
            </w:r>
          </w:p>
        </w:tc>
        <w:tc>
          <w:tcPr>
            <w:tcW w:type="dxa" w:w="4536"/>
            <w:shd w:fill="17324D"/>
            <w:vAlign w:val="center"/>
            <w:tcMar>
              <w:top w:w="110" w:type="dxa"/>
              <w:start w:w="130" w:type="dxa"/>
              <w:bottom w:w="110" w:type="dxa"/>
              <w:end w:w="130" w:type="dxa"/>
            </w:tcMar>
          </w:tcPr>
          <w:p>
            <w:r>
              <w:rPr>
                <w:b/>
                <w:color w:val="FFFFFF"/>
                <w:sz w:val="18"/>
              </w:rPr>
              <w:t>What it is for</w:t>
            </w:r>
          </w:p>
        </w:tc>
        <w:tc>
          <w:tcPr>
            <w:tcW w:type="dxa" w:w="4104"/>
            <w:shd w:fill="17324D"/>
            <w:vAlign w:val="center"/>
            <w:tcMar>
              <w:top w:w="110" w:type="dxa"/>
              <w:start w:w="130" w:type="dxa"/>
              <w:bottom w:w="110" w:type="dxa"/>
              <w:end w:w="130" w:type="dxa"/>
            </w:tcMar>
          </w:tcPr>
          <w:p>
            <w:r>
              <w:rPr>
                <w:b/>
                <w:color w:val="FFFFFF"/>
                <w:sz w:val="18"/>
              </w:rPr>
              <w:t>Important limitation</w:t>
            </w:r>
          </w:p>
        </w:tc>
      </w:tr>
      <w:tr>
        <w:tc>
          <w:tcPr>
            <w:tcW w:type="dxa" w:w="2376"/>
            <w:vAlign w:val="center"/>
            <w:tcMar>
              <w:top w:w="110" w:type="dxa"/>
              <w:start w:w="130" w:type="dxa"/>
              <w:bottom w:w="110" w:type="dxa"/>
              <w:end w:w="130" w:type="dxa"/>
            </w:tcMar>
          </w:tcPr>
          <w:p>
            <w:pPr>
              <w:spacing w:after="0" w:line="252" w:lineRule="auto"/>
            </w:pPr>
            <w:r>
              <w:rPr>
                <w:sz w:val="17"/>
              </w:rPr>
              <w:t>Workspace owner or admin</w:t>
            </w:r>
          </w:p>
        </w:tc>
        <w:tc>
          <w:tcPr>
            <w:tcW w:type="dxa" w:w="4536"/>
            <w:vAlign w:val="center"/>
            <w:tcMar>
              <w:top w:w="110" w:type="dxa"/>
              <w:start w:w="130" w:type="dxa"/>
              <w:bottom w:w="110" w:type="dxa"/>
              <w:end w:w="130" w:type="dxa"/>
            </w:tcMar>
          </w:tcPr>
          <w:p>
            <w:pPr>
              <w:spacing w:after="0" w:line="252" w:lineRule="auto"/>
            </w:pPr>
            <w:r>
              <w:rPr>
                <w:sz w:val="17"/>
              </w:rPr>
              <w:t>Administration and high-authority decisions</w:t>
            </w:r>
          </w:p>
        </w:tc>
        <w:tc>
          <w:tcPr>
            <w:tcW w:type="dxa" w:w="4104"/>
            <w:vAlign w:val="center"/>
            <w:tcMar>
              <w:top w:w="110" w:type="dxa"/>
              <w:start w:w="130" w:type="dxa"/>
              <w:bottom w:w="110" w:type="dxa"/>
              <w:end w:w="130" w:type="dxa"/>
            </w:tcMar>
          </w:tcPr>
          <w:p>
            <w:pPr>
              <w:spacing w:after="0" w:line="252" w:lineRule="auto"/>
            </w:pPr>
            <w:r>
              <w:rPr>
                <w:sz w:val="17"/>
              </w:rPr>
              <w:t>Grant only to people who require that authority</w:t>
            </w:r>
          </w:p>
        </w:tc>
      </w:tr>
      <w:tr>
        <w:tc>
          <w:tcPr>
            <w:tcW w:type="dxa" w:w="2376"/>
            <w:vAlign w:val="center"/>
            <w:shd w:fill="F5F5F3"/>
            <w:tcMar>
              <w:top w:w="110" w:type="dxa"/>
              <w:start w:w="130" w:type="dxa"/>
              <w:bottom w:w="110" w:type="dxa"/>
              <w:end w:w="130" w:type="dxa"/>
            </w:tcMar>
          </w:tcPr>
          <w:p>
            <w:pPr>
              <w:spacing w:after="0" w:line="252" w:lineRule="auto"/>
            </w:pPr>
            <w:r>
              <w:rPr>
                <w:sz w:val="17"/>
              </w:rPr>
              <w:t>Project manager</w:t>
            </w:r>
          </w:p>
        </w:tc>
        <w:tc>
          <w:tcPr>
            <w:tcW w:type="dxa" w:w="4536"/>
            <w:vAlign w:val="center"/>
            <w:shd w:fill="F5F5F3"/>
            <w:tcMar>
              <w:top w:w="110" w:type="dxa"/>
              <w:start w:w="130" w:type="dxa"/>
              <w:bottom w:w="110" w:type="dxa"/>
              <w:end w:w="130" w:type="dxa"/>
            </w:tcMar>
          </w:tcPr>
          <w:p>
            <w:pPr>
              <w:spacing w:after="0" w:line="252" w:lineRule="auto"/>
            </w:pPr>
            <w:r>
              <w:rPr>
                <w:sz w:val="17"/>
              </w:rPr>
              <w:t>Maintaining project plans, controls, execution and reports</w:t>
            </w:r>
          </w:p>
        </w:tc>
        <w:tc>
          <w:tcPr>
            <w:tcW w:type="dxa" w:w="4104"/>
            <w:vAlign w:val="center"/>
            <w:shd w:fill="F5F5F3"/>
            <w:tcMar>
              <w:top w:w="110" w:type="dxa"/>
              <w:start w:w="130" w:type="dxa"/>
              <w:bottom w:w="110" w:type="dxa"/>
              <w:end w:w="130" w:type="dxa"/>
            </w:tcMar>
          </w:tcPr>
          <w:p>
            <w:pPr>
              <w:spacing w:after="0" w:line="252" w:lineRule="auto"/>
            </w:pPr>
            <w:r>
              <w:rPr>
                <w:sz w:val="17"/>
              </w:rPr>
              <w:t>Responsible for integrated accuracy and escalation</w:t>
            </w:r>
          </w:p>
        </w:tc>
      </w:tr>
      <w:tr>
        <w:tc>
          <w:tcPr>
            <w:tcW w:type="dxa" w:w="2376"/>
            <w:vAlign w:val="center"/>
            <w:tcMar>
              <w:top w:w="110" w:type="dxa"/>
              <w:start w:w="130" w:type="dxa"/>
              <w:bottom w:w="110" w:type="dxa"/>
              <w:end w:w="130" w:type="dxa"/>
            </w:tcMar>
          </w:tcPr>
          <w:p>
            <w:pPr>
              <w:spacing w:after="0" w:line="252" w:lineRule="auto"/>
            </w:pPr>
            <w:r>
              <w:rPr>
                <w:sz w:val="17"/>
              </w:rPr>
              <w:t>Member</w:t>
            </w:r>
          </w:p>
        </w:tc>
        <w:tc>
          <w:tcPr>
            <w:tcW w:type="dxa" w:w="4536"/>
            <w:vAlign w:val="center"/>
            <w:tcMar>
              <w:top w:w="110" w:type="dxa"/>
              <w:start w:w="130" w:type="dxa"/>
              <w:bottom w:w="110" w:type="dxa"/>
              <w:end w:w="130" w:type="dxa"/>
            </w:tcMar>
          </w:tcPr>
          <w:p>
            <w:pPr>
              <w:spacing w:after="0" w:line="252" w:lineRule="auto"/>
            </w:pPr>
            <w:r>
              <w:rPr>
                <w:sz w:val="17"/>
              </w:rPr>
              <w:t>Authorized workspace visibility and permitted file contribution</w:t>
            </w:r>
          </w:p>
        </w:tc>
        <w:tc>
          <w:tcPr>
            <w:tcW w:type="dxa" w:w="4104"/>
            <w:vAlign w:val="center"/>
            <w:tcMar>
              <w:top w:w="110" w:type="dxa"/>
              <w:start w:w="130" w:type="dxa"/>
              <w:bottom w:w="110" w:type="dxa"/>
              <w:end w:w="130" w:type="dxa"/>
            </w:tcMar>
          </w:tcPr>
          <w:p>
            <w:pPr>
              <w:spacing w:after="0" w:line="252" w:lineRule="auto"/>
            </w:pPr>
            <w:r>
              <w:rPr>
                <w:sz w:val="17"/>
              </w:rPr>
              <w:t>Current beta does not yet provide self-service My Work updates</w:t>
            </w:r>
          </w:p>
        </w:tc>
      </w:tr>
      <w:tr>
        <w:tc>
          <w:tcPr>
            <w:tcW w:type="dxa" w:w="2376"/>
            <w:vAlign w:val="center"/>
            <w:shd w:fill="F5F5F3"/>
            <w:tcMar>
              <w:top w:w="110" w:type="dxa"/>
              <w:start w:w="130" w:type="dxa"/>
              <w:bottom w:w="110" w:type="dxa"/>
              <w:end w:w="130" w:type="dxa"/>
            </w:tcMar>
          </w:tcPr>
          <w:p>
            <w:pPr>
              <w:spacing w:after="0" w:line="252" w:lineRule="auto"/>
            </w:pPr>
            <w:r>
              <w:rPr>
                <w:sz w:val="17"/>
              </w:rPr>
              <w:t>Controlled external share</w:t>
            </w:r>
          </w:p>
        </w:tc>
        <w:tc>
          <w:tcPr>
            <w:tcW w:type="dxa" w:w="4536"/>
            <w:vAlign w:val="center"/>
            <w:shd w:fill="F5F5F3"/>
            <w:tcMar>
              <w:top w:w="110" w:type="dxa"/>
              <w:start w:w="130" w:type="dxa"/>
              <w:bottom w:w="110" w:type="dxa"/>
              <w:end w:w="130" w:type="dxa"/>
            </w:tcMar>
          </w:tcPr>
          <w:p>
            <w:pPr>
              <w:spacing w:after="0" w:line="252" w:lineRule="auto"/>
            </w:pPr>
            <w:r>
              <w:rPr>
                <w:sz w:val="17"/>
              </w:rPr>
              <w:t>Time-limited access to one approved document version</w:t>
            </w:r>
          </w:p>
        </w:tc>
        <w:tc>
          <w:tcPr>
            <w:tcW w:type="dxa" w:w="4104"/>
            <w:vAlign w:val="center"/>
            <w:shd w:fill="F5F5F3"/>
            <w:tcMar>
              <w:top w:w="110" w:type="dxa"/>
              <w:start w:w="130" w:type="dxa"/>
              <w:bottom w:w="110" w:type="dxa"/>
              <w:end w:w="130" w:type="dxa"/>
            </w:tcMar>
          </w:tcPr>
          <w:p>
            <w:pPr>
              <w:spacing w:after="0" w:line="252" w:lineRule="auto"/>
            </w:pPr>
            <w:r>
              <w:rPr>
                <w:sz w:val="17"/>
              </w:rPr>
              <w:t>Does not provide project or workspace discovery</w:t>
            </w:r>
          </w:p>
        </w:tc>
      </w:tr>
      <w:tr>
        <w:tc>
          <w:tcPr>
            <w:tcW w:type="dxa" w:w="2376"/>
            <w:vAlign w:val="center"/>
            <w:tcMar>
              <w:top w:w="110" w:type="dxa"/>
              <w:start w:w="130" w:type="dxa"/>
              <w:bottom w:w="110" w:type="dxa"/>
              <w:end w:w="130" w:type="dxa"/>
            </w:tcMar>
          </w:tcPr>
          <w:p>
            <w:pPr>
              <w:spacing w:after="0" w:line="252" w:lineRule="auto"/>
            </w:pPr>
            <w:r>
              <w:rPr>
                <w:sz w:val="17"/>
              </w:rPr>
              <w:t>Exported project pack</w:t>
            </w:r>
          </w:p>
        </w:tc>
        <w:tc>
          <w:tcPr>
            <w:tcW w:type="dxa" w:w="4536"/>
            <w:vAlign w:val="center"/>
            <w:tcMar>
              <w:top w:w="110" w:type="dxa"/>
              <w:start w:w="130" w:type="dxa"/>
              <w:bottom w:w="110" w:type="dxa"/>
              <w:end w:w="130" w:type="dxa"/>
            </w:tcMar>
          </w:tcPr>
          <w:p>
            <w:pPr>
              <w:spacing w:after="0" w:line="252" w:lineRule="auto"/>
            </w:pPr>
            <w:r>
              <w:rPr>
                <w:sz w:val="17"/>
              </w:rPr>
              <w:t>Authorized portable project record</w:t>
            </w:r>
          </w:p>
        </w:tc>
        <w:tc>
          <w:tcPr>
            <w:tcW w:type="dxa" w:w="4104"/>
            <w:vAlign w:val="center"/>
            <w:tcMar>
              <w:top w:w="110" w:type="dxa"/>
              <w:start w:w="130" w:type="dxa"/>
              <w:bottom w:w="110" w:type="dxa"/>
              <w:end w:w="130" w:type="dxa"/>
            </w:tcMar>
          </w:tcPr>
          <w:p>
            <w:pPr>
              <w:spacing w:after="0" w:line="252" w:lineRule="auto"/>
            </w:pPr>
            <w:r>
              <w:rPr>
                <w:sz w:val="17"/>
              </w:rPr>
              <w:t>The recipient must protect the downloaded copy outside ArkHimar PM</w:t>
            </w:r>
          </w:p>
        </w:tc>
      </w:tr>
    </w:tbl>
    <w:p>
      <w:pPr>
        <w:spacing w:after="20"/>
      </w:pPr>
    </w:p>
    <w:p>
      <w:pPr>
        <w:pStyle w:val="Heading1"/>
        <w:keepNext/>
      </w:pPr>
      <w:r>
        <w:t>Current platform boundaries</w:t>
      </w:r>
    </w:p>
    <w:p>
      <w:pPr>
        <w:keepLines/>
      </w:pPr>
      <w:r>
        <w:t>Threaded comments, mentions, reactions, watchers, notification preferences, a My Work page, direct team-member progress updates, normalized meeting records and external commenting or approval are planned product requirements rather than current private-beta capabilities. Until implemented, team members should submit updates through the organization's approved channel and the project manager should enter or govern the resulting project record. External stakeholders currently receive approved documents through controlled shares rather than access to the full project.</w:t>
      </w:r>
    </w:p>
    <w:p>
      <w:pPr>
        <w:pStyle w:val="Heading1"/>
        <w:keepNext/>
      </w:pPr>
      <w:r>
        <w:t>Stakeholder checklist</w:t>
      </w:r>
    </w:p>
    <w:p>
      <w:pPr>
        <w:pStyle w:val="ListBullet"/>
        <w:spacing w:after="60"/>
        <w:keepLines/>
      </w:pPr>
      <w:r>
        <w:t>I understand the project outcome, my role and my decision authority.</w:t>
      </w:r>
    </w:p>
    <w:p>
      <w:pPr>
        <w:pStyle w:val="ListBullet"/>
        <w:spacing w:after="60"/>
        <w:keepLines/>
      </w:pPr>
      <w:r>
        <w:t>I know which current version governs my work.</w:t>
      </w:r>
    </w:p>
    <w:p>
      <w:pPr>
        <w:pStyle w:val="ListBullet"/>
        <w:spacing w:after="60"/>
        <w:keepLines/>
      </w:pPr>
      <w:r>
        <w:t>My progress update includes evidence, remaining work and forecast.</w:t>
      </w:r>
    </w:p>
    <w:p>
      <w:pPr>
        <w:pStyle w:val="ListBullet"/>
        <w:spacing w:after="60"/>
        <w:keepLines/>
      </w:pPr>
      <w:r>
        <w:t>I have raised risks, issues, blockers and possible changes early.</w:t>
      </w:r>
    </w:p>
    <w:p>
      <w:pPr>
        <w:pStyle w:val="ListBullet"/>
        <w:spacing w:after="60"/>
        <w:keepLines/>
      </w:pPr>
      <w:r>
        <w:t>I protect confidential information and do not redistribute access links.</w:t>
      </w:r>
    </w:p>
    <w:p>
      <w:pPr>
        <w:pStyle w:val="ListBullet"/>
        <w:spacing w:after="60"/>
        <w:keepLines/>
      </w:pPr>
      <w:r>
        <w:t>I record approvals only through the authorized process.</w:t>
      </w:r>
    </w:p>
    <w:p>
      <w:pPr>
        <w:pStyle w:val="ListBullet"/>
        <w:spacing w:after="60"/>
        <w:keepLines/>
      </w:pPr>
      <w:r>
        <w:t>I close actions by the agreed date or escalate before the commitment is missed.</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6"/>
      </w:rPr>
      <w:t>ArkHimar PM  |  ArkHimar PM Stakeholder Handbook  |  Private beta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40"/>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ArkHimar PM Stakeholder Handbook</dc:title>
  <dc:subject>ArkHimar PM Stakeholder Handbook</dc:subject>
  <dc:creator>ArkHimar Consult</dc:creator>
  <cp:keywords>ArkHimar PM, project management, governance, user guide</cp:keywords>
  <dc:description>Prepared for ArkHimar PM users</dc:description>
  <cp:lastModifiedBy/>
  <cp:revision>1</cp:revision>
  <dcterms:created xsi:type="dcterms:W3CDTF">2013-12-23T23:15:00Z</dcterms:created>
  <dcterms:modified xsi:type="dcterms:W3CDTF">2013-12-23T23:15:00Z</dcterms:modified>
  <cp:category/>
</cp:coreProperties>
</file>