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669F1" w14:textId="2DE118D0" w:rsidR="00362203" w:rsidRDefault="00362203" w:rsidP="00362203">
      <w:pPr>
        <w:pStyle w:val="NormalWeb"/>
        <w:shd w:val="clear" w:color="auto" w:fill="FFFFFF"/>
        <w:spacing w:before="180" w:beforeAutospacing="0" w:after="180" w:afterAutospacing="0"/>
        <w:rPr>
          <w:rFonts w:ascii="Lato" w:hAnsi="Lato"/>
          <w:color w:val="2D3B45"/>
        </w:rPr>
      </w:pPr>
      <w:r>
        <w:rPr>
          <w:rFonts w:ascii="Lato" w:hAnsi="Lato"/>
          <w:color w:val="2D3B45"/>
        </w:rPr>
        <w:t xml:space="preserve">Title: </w:t>
      </w:r>
      <w:r>
        <w:rPr>
          <w:rFonts w:ascii="Lato" w:hAnsi="Lato"/>
          <w:color w:val="2D3B45"/>
        </w:rPr>
        <w:t xml:space="preserve">OMV Exploration 3: Final Data Set </w:t>
      </w:r>
      <w:r w:rsidR="00837F63">
        <w:rPr>
          <w:rFonts w:ascii="Lato" w:hAnsi="Lato"/>
          <w:color w:val="2D3B45"/>
        </w:rPr>
        <w:t>&amp;</w:t>
      </w:r>
      <w:r>
        <w:rPr>
          <w:rFonts w:ascii="Lato" w:hAnsi="Lato"/>
          <w:color w:val="2D3B45"/>
        </w:rPr>
        <w:t xml:space="preserve"> Bibliography.</w:t>
      </w:r>
    </w:p>
    <w:p w14:paraId="7A7B10D9" w14:textId="77777777" w:rsidR="00362203" w:rsidRDefault="00362203" w:rsidP="00362203">
      <w:pPr>
        <w:pStyle w:val="NormalWeb"/>
        <w:shd w:val="clear" w:color="auto" w:fill="FFFFFF"/>
        <w:spacing w:before="180" w:beforeAutospacing="0" w:after="180" w:afterAutospacing="0"/>
        <w:rPr>
          <w:rFonts w:ascii="Lato" w:hAnsi="Lato"/>
          <w:color w:val="2D3B45"/>
        </w:rPr>
      </w:pPr>
      <w:r>
        <w:rPr>
          <w:rFonts w:ascii="Lato" w:hAnsi="Lato"/>
          <w:color w:val="2D3B45"/>
        </w:rPr>
        <w:t>Author: Arka Maitra</w:t>
      </w:r>
    </w:p>
    <w:p w14:paraId="5E424DEA" w14:textId="1D85BE87" w:rsidR="00362203" w:rsidRDefault="00362203" w:rsidP="00362203">
      <w:pPr>
        <w:pStyle w:val="NormalWeb"/>
        <w:shd w:val="clear" w:color="auto" w:fill="FFFFFF"/>
        <w:spacing w:before="180" w:beforeAutospacing="0" w:after="180" w:afterAutospacing="0"/>
        <w:rPr>
          <w:rFonts w:ascii="Lato" w:hAnsi="Lato"/>
          <w:color w:val="2D3B45"/>
        </w:rPr>
      </w:pPr>
      <w:r>
        <w:rPr>
          <w:rFonts w:ascii="Lato" w:hAnsi="Lato"/>
          <w:color w:val="2D3B45"/>
        </w:rPr>
        <w:t xml:space="preserve">Date: March </w:t>
      </w:r>
      <w:r w:rsidR="00837F63">
        <w:rPr>
          <w:rFonts w:ascii="Lato" w:hAnsi="Lato"/>
          <w:color w:val="2D3B45"/>
        </w:rPr>
        <w:t>8</w:t>
      </w:r>
      <w:r>
        <w:rPr>
          <w:rFonts w:ascii="Lato" w:hAnsi="Lato"/>
          <w:color w:val="2D3B45"/>
        </w:rPr>
        <w:t>, 2023.</w:t>
      </w:r>
    </w:p>
    <w:p w14:paraId="30B3F83B" w14:textId="77777777" w:rsidR="00362203" w:rsidRDefault="00362203" w:rsidP="00362203">
      <w:pPr>
        <w:pStyle w:val="NormalWeb"/>
        <w:shd w:val="clear" w:color="auto" w:fill="FFFFFF"/>
        <w:spacing w:before="180" w:beforeAutospacing="0" w:after="180" w:afterAutospacing="0"/>
        <w:rPr>
          <w:rFonts w:ascii="Lato" w:hAnsi="Lato"/>
          <w:color w:val="2D3B45"/>
        </w:rPr>
      </w:pPr>
      <w:r>
        <w:rPr>
          <w:rFonts w:ascii="Lato" w:hAnsi="Lato"/>
          <w:color w:val="2D3B45"/>
        </w:rPr>
        <w:t>Course: Advanced Topics in Digital Humanities (ENGL 877)</w:t>
      </w:r>
    </w:p>
    <w:p w14:paraId="491800E0" w14:textId="76848FB8" w:rsidR="00362203" w:rsidRDefault="00362203" w:rsidP="00362203">
      <w:r>
        <w:rPr>
          <w:rFonts w:ascii="Lato" w:hAnsi="Lato"/>
          <w:color w:val="2D3B45"/>
        </w:rPr>
        <w:t>About:</w:t>
      </w:r>
      <w:r w:rsidR="00837F63">
        <w:rPr>
          <w:rFonts w:ascii="Lato" w:hAnsi="Lato"/>
          <w:color w:val="2D3B45"/>
        </w:rPr>
        <w:t xml:space="preserve"> This is the final Data set regarding the final project (website). It consists annotated bibliographies of all the primary works (all gathered from One More Voice) and critical texts that will be used in the project. It also has an exploration of the different themes that will be delved into as part of the project as well as a brief understanding of how each text ties into the themes.</w:t>
      </w:r>
    </w:p>
    <w:p w14:paraId="1C39A10B" w14:textId="53DFCDAD" w:rsidR="00837F63" w:rsidRDefault="000D4BED" w:rsidP="000D4BED">
      <w:r w:rsidRPr="000D4BED">
        <w:t>List of Primary works (OMV):</w:t>
      </w:r>
      <w:r w:rsidRPr="000D4BED">
        <w:br/>
        <w:t>Recovered Texts:</w:t>
      </w:r>
      <w:r w:rsidRPr="000D4BED">
        <w:br/>
      </w:r>
      <w:proofErr w:type="spellStart"/>
      <w:r w:rsidRPr="000D4BED">
        <w:t>Caras</w:t>
      </w:r>
      <w:proofErr w:type="spellEnd"/>
      <w:r w:rsidRPr="000D4BED">
        <w:t xml:space="preserve"> Farrar; Anonymous. “‘The History of </w:t>
      </w:r>
      <w:proofErr w:type="spellStart"/>
      <w:r w:rsidRPr="000D4BED">
        <w:t>Caras</w:t>
      </w:r>
      <w:proofErr w:type="spellEnd"/>
      <w:r w:rsidRPr="000D4BED">
        <w:t xml:space="preserve"> Farrar of Finding Dr Livingstone, in Central</w:t>
      </w:r>
      <w:r w:rsidRPr="000D4BED">
        <w:br/>
        <w:t xml:space="preserve">Africa’” (9 September 1874). Caitlin </w:t>
      </w:r>
      <w:proofErr w:type="spellStart"/>
      <w:r w:rsidRPr="000D4BED">
        <w:t>Matheis</w:t>
      </w:r>
      <w:proofErr w:type="spellEnd"/>
      <w:r w:rsidRPr="000D4BED">
        <w:t xml:space="preserve">, Adrian S. </w:t>
      </w:r>
      <w:proofErr w:type="spellStart"/>
      <w:r w:rsidRPr="000D4BED">
        <w:t>Wisnicki</w:t>
      </w:r>
      <w:proofErr w:type="spellEnd"/>
      <w:r w:rsidRPr="000D4BED">
        <w:t>, eds. One More Voice, site</w:t>
      </w:r>
      <w:r w:rsidRPr="000D4BED">
        <w:br/>
        <w:t xml:space="preserve">launch edition, 2020, </w:t>
      </w:r>
      <w:hyperlink r:id="rId4" w:history="1">
        <w:r w:rsidR="00837F63" w:rsidRPr="000D4BED">
          <w:rPr>
            <w:rStyle w:val="Hyperlink"/>
          </w:rPr>
          <w:t>https://onemorevoice.org/html/transcriptions/liv_020061_TEI.html</w:t>
        </w:r>
      </w:hyperlink>
      <w:r w:rsidRPr="000D4BED">
        <w:t>.</w:t>
      </w:r>
    </w:p>
    <w:p w14:paraId="563503FA" w14:textId="77777777" w:rsidR="00837F63" w:rsidRDefault="000D4BED" w:rsidP="000D4BED">
      <w:r w:rsidRPr="000D4BED">
        <w:br/>
        <w:t xml:space="preserve">This work talks about the author, </w:t>
      </w:r>
      <w:proofErr w:type="spellStart"/>
      <w:r w:rsidRPr="000D4BED">
        <w:t>Carras</w:t>
      </w:r>
      <w:proofErr w:type="spellEnd"/>
      <w:r w:rsidRPr="000D4BED">
        <w:t xml:space="preserve"> Farrar’s journey to Central Africa in search of David</w:t>
      </w:r>
      <w:r w:rsidRPr="000D4BED">
        <w:br/>
        <w:t>Livingstone, and brings out several instances of the author’s own view as well as the</w:t>
      </w:r>
      <w:r w:rsidRPr="000D4BED">
        <w:br/>
        <w:t>European views on African peoples and cultures during the colonial period.</w:t>
      </w:r>
      <w:r w:rsidRPr="000D4BED">
        <w:br/>
        <w:t>Themes: colonial view (by both colonizer and colonized) of native land and culture/colonized</w:t>
      </w:r>
      <w:r w:rsidRPr="000D4BED">
        <w:br/>
        <w:t>view of colonial culture, religion as a colonizing tool, language as a colonizing tool.</w:t>
      </w:r>
    </w:p>
    <w:p w14:paraId="066DF5B0" w14:textId="569A56E1" w:rsidR="00837F63" w:rsidRDefault="000D4BED" w:rsidP="000D4BED">
      <w:r w:rsidRPr="000D4BED">
        <w:br/>
        <w:t xml:space="preserve">James MacQueen; </w:t>
      </w:r>
      <w:proofErr w:type="spellStart"/>
      <w:r w:rsidRPr="000D4BED">
        <w:t>Lief</w:t>
      </w:r>
      <w:proofErr w:type="spellEnd"/>
      <w:r w:rsidRPr="000D4BED">
        <w:t xml:space="preserve"> Ben </w:t>
      </w:r>
      <w:proofErr w:type="spellStart"/>
      <w:r w:rsidRPr="000D4BED">
        <w:t>Saeid</w:t>
      </w:r>
      <w:proofErr w:type="spellEnd"/>
      <w:r w:rsidRPr="000D4BED">
        <w:t xml:space="preserve">; Thomas </w:t>
      </w:r>
      <w:proofErr w:type="spellStart"/>
      <w:r w:rsidRPr="000D4BED">
        <w:t>Wogga</w:t>
      </w:r>
      <w:proofErr w:type="spellEnd"/>
      <w:r w:rsidRPr="000D4BED">
        <w:t>. “‘Notes on African Geography’” (1845).</w:t>
      </w:r>
      <w:r w:rsidRPr="000D4BED">
        <w:br/>
        <w:t xml:space="preserve">Anne Martin, Heather F. Ball, Adrian S. </w:t>
      </w:r>
      <w:proofErr w:type="spellStart"/>
      <w:r w:rsidRPr="000D4BED">
        <w:t>Wisnicki</w:t>
      </w:r>
      <w:proofErr w:type="spellEnd"/>
      <w:r w:rsidRPr="000D4BED">
        <w:t>, eds. One More Voice, site launch edition,</w:t>
      </w:r>
      <w:r w:rsidRPr="000D4BED">
        <w:br/>
        <w:t xml:space="preserve">2020, </w:t>
      </w:r>
      <w:hyperlink r:id="rId5" w:history="1">
        <w:r w:rsidR="00837F63" w:rsidRPr="000D4BED">
          <w:rPr>
            <w:rStyle w:val="Hyperlink"/>
          </w:rPr>
          <w:t>https://onemorevoice.org/html/transcriptions/liv_020003_TEI.html</w:t>
        </w:r>
      </w:hyperlink>
      <w:r w:rsidRPr="000D4BED">
        <w:t>.</w:t>
      </w:r>
    </w:p>
    <w:p w14:paraId="1C49D8E4" w14:textId="77777777" w:rsidR="00837F63" w:rsidRDefault="000D4BED" w:rsidP="000D4BED">
      <w:r w:rsidRPr="000D4BED">
        <w:br/>
        <w:t xml:space="preserve">This work is an interpretation by James MacQueen, of </w:t>
      </w:r>
      <w:proofErr w:type="spellStart"/>
      <w:r w:rsidRPr="000D4BED">
        <w:t>Lief</w:t>
      </w:r>
      <w:proofErr w:type="spellEnd"/>
      <w:r w:rsidRPr="000D4BED">
        <w:t xml:space="preserve"> Ben </w:t>
      </w:r>
      <w:proofErr w:type="spellStart"/>
      <w:r w:rsidRPr="000D4BED">
        <w:t>Saeid</w:t>
      </w:r>
      <w:proofErr w:type="spellEnd"/>
      <w:r w:rsidRPr="000D4BED">
        <w:t xml:space="preserve"> and Thomas </w:t>
      </w:r>
      <w:proofErr w:type="spellStart"/>
      <w:r w:rsidRPr="000D4BED">
        <w:t>Wogga’s</w:t>
      </w:r>
      <w:proofErr w:type="spellEnd"/>
      <w:r w:rsidRPr="000D4BED">
        <w:br/>
        <w:t>separate experiences of travelling through Africa, which brings out their understanding of</w:t>
      </w:r>
      <w:r w:rsidRPr="000D4BED">
        <w:br/>
        <w:t>African geography, fauna and cultures at the time.</w:t>
      </w:r>
      <w:r w:rsidRPr="000D4BED">
        <w:br/>
        <w:t>Themes: colonial view (by both colonizer and colonized) of native land and culture/colonized</w:t>
      </w:r>
      <w:r w:rsidRPr="000D4BED">
        <w:br/>
        <w:t>view of colonial culture.</w:t>
      </w:r>
    </w:p>
    <w:p w14:paraId="1046785D" w14:textId="77777777" w:rsidR="00837F63" w:rsidRDefault="000D4BED" w:rsidP="000D4BED">
      <w:r w:rsidRPr="000D4BED">
        <w:br/>
        <w:t>Book-Length Published Works:</w:t>
      </w:r>
      <w:r w:rsidRPr="000D4BED">
        <w:br/>
      </w:r>
      <w:proofErr w:type="spellStart"/>
      <w:r w:rsidRPr="000D4BED">
        <w:t>Bokwala</w:t>
      </w:r>
      <w:proofErr w:type="spellEnd"/>
      <w:r w:rsidRPr="000D4BED">
        <w:t xml:space="preserve">; Henry Grattan Guinness. </w:t>
      </w:r>
      <w:proofErr w:type="spellStart"/>
      <w:r w:rsidRPr="000D4BED">
        <w:t>Bokwala</w:t>
      </w:r>
      <w:proofErr w:type="spellEnd"/>
      <w:r w:rsidRPr="000D4BED">
        <w:t>, the Story of a Congo Victim. London, Religious</w:t>
      </w:r>
      <w:r w:rsidRPr="000D4BED">
        <w:br/>
        <w:t>Tract Society, 1910,</w:t>
      </w:r>
      <w:r w:rsidR="00837F63">
        <w:t xml:space="preserve"> </w:t>
      </w:r>
      <w:r w:rsidRPr="000D4BED">
        <w:t>archive.org/details/BokwalaTheStoryOfACongoVictim/Bokwala2/mode/1up.</w:t>
      </w:r>
    </w:p>
    <w:p w14:paraId="3D5E10F6" w14:textId="77777777" w:rsidR="00837F63" w:rsidRDefault="000D4BED" w:rsidP="000D4BED">
      <w:r w:rsidRPr="000D4BED">
        <w:br/>
        <w:t xml:space="preserve">This book follows the story of </w:t>
      </w:r>
      <w:proofErr w:type="spellStart"/>
      <w:r w:rsidRPr="000D4BED">
        <w:t>Bokwala</w:t>
      </w:r>
      <w:proofErr w:type="spellEnd"/>
      <w:r w:rsidRPr="000D4BED">
        <w:t>, a Congolese boy during the colonial period, as he is</w:t>
      </w:r>
      <w:r w:rsidRPr="000D4BED">
        <w:br/>
        <w:t>exposed to the struggles and hardships of colonial rule and slave trade.</w:t>
      </w:r>
      <w:r w:rsidRPr="000D4BED">
        <w:br/>
        <w:t>Themes: colonial view (by both colonizer and colonized) of native land and culture/colonized</w:t>
      </w:r>
      <w:r w:rsidRPr="000D4BED">
        <w:br/>
        <w:t>view of colonial culture, religion as a colonizing tool, language as a colonizing tool.</w:t>
      </w:r>
    </w:p>
    <w:p w14:paraId="6D915294" w14:textId="77777777" w:rsidR="00837F63" w:rsidRDefault="00837F63" w:rsidP="000D4BED"/>
    <w:p w14:paraId="2D760069" w14:textId="77777777" w:rsidR="00837F63" w:rsidRDefault="000D4BED" w:rsidP="000D4BED">
      <w:r w:rsidRPr="000D4BED">
        <w:lastRenderedPageBreak/>
        <w:br/>
        <w:t xml:space="preserve">Samuel Crowther, </w:t>
      </w:r>
      <w:proofErr w:type="gramStart"/>
      <w:r w:rsidRPr="000D4BED">
        <w:t>1806?-</w:t>
      </w:r>
      <w:proofErr w:type="gramEnd"/>
      <w:r w:rsidRPr="000D4BED">
        <w:t>1891. Vocabulary of the Yoruba Language, to Which Are Prefixed</w:t>
      </w:r>
      <w:r w:rsidRPr="000D4BED">
        <w:br/>
        <w:t>the Grammatical Elements of the Language. London, 1843.</w:t>
      </w:r>
    </w:p>
    <w:p w14:paraId="7B943CC2" w14:textId="7B19F26C" w:rsidR="000D4BED" w:rsidRPr="000D4BED" w:rsidRDefault="000D4BED" w:rsidP="000D4BED">
      <w:r w:rsidRPr="000D4BED">
        <w:br/>
        <w:t>This book attempts to incorporate the Yoruba Language into the English grammatical</w:t>
      </w:r>
      <w:r w:rsidRPr="000D4BED">
        <w:br/>
        <w:t>structure, as well as serve as a text glorifying the British colonial rule and its benefits.</w:t>
      </w:r>
      <w:r w:rsidRPr="000D4BED">
        <w:br/>
        <w:t>Themes: colonial view (by both colonizer and colonized) of native land and culture/colonized</w:t>
      </w:r>
      <w:r w:rsidRPr="000D4BED">
        <w:br/>
        <w:t>view of colonial culture, language as a colonizing tool.</w:t>
      </w:r>
    </w:p>
    <w:p w14:paraId="030AEE34" w14:textId="77777777" w:rsidR="00837F63" w:rsidRDefault="000D4BED" w:rsidP="000D4BED">
      <w:r w:rsidRPr="000D4BED">
        <w:t xml:space="preserve">T.N. </w:t>
      </w:r>
      <w:proofErr w:type="spellStart"/>
      <w:r w:rsidRPr="000D4BED">
        <w:t>Mukhopadhya</w:t>
      </w:r>
      <w:proofErr w:type="spellEnd"/>
      <w:r w:rsidRPr="000D4BED">
        <w:t xml:space="preserve">. A Visit to Europe by T. N. </w:t>
      </w:r>
      <w:proofErr w:type="spellStart"/>
      <w:r w:rsidRPr="000D4BED">
        <w:t>Mukharji</w:t>
      </w:r>
      <w:proofErr w:type="spellEnd"/>
      <w:r w:rsidRPr="000D4BED">
        <w:t>: With a Preface by N. N. Ghose, Esq.,</w:t>
      </w:r>
      <w:r w:rsidRPr="000D4BED">
        <w:br/>
        <w:t>Barrister-At-Law. Gale and the British Library, 1889.</w:t>
      </w:r>
    </w:p>
    <w:p w14:paraId="4B228D7B" w14:textId="77777777" w:rsidR="00837F63" w:rsidRDefault="000D4BED" w:rsidP="000D4BED">
      <w:r w:rsidRPr="000D4BED">
        <w:br/>
        <w:t>This book details the authors visit to Europe and his interpretation and understanding of the</w:t>
      </w:r>
      <w:r w:rsidRPr="000D4BED">
        <w:br/>
        <w:t>various cultures and culture specific nuances of various European countries.</w:t>
      </w:r>
      <w:r w:rsidRPr="000D4BED">
        <w:br/>
        <w:t>Themes: colonial view (by both colonizer and colonized) of native land and culture/colonized</w:t>
      </w:r>
      <w:r w:rsidRPr="000D4BED">
        <w:br/>
        <w:t>view of colonizing culture, religion as a colonizing tool.</w:t>
      </w:r>
    </w:p>
    <w:p w14:paraId="50B7BD33" w14:textId="1642C62A" w:rsidR="00837F63" w:rsidRDefault="000D4BED" w:rsidP="000D4BED">
      <w:r w:rsidRPr="000D4BED">
        <w:br/>
        <w:t>Periodical Pieces:</w:t>
      </w:r>
      <w:r w:rsidRPr="000D4BED">
        <w:br/>
        <w:t xml:space="preserve">Anonymous; </w:t>
      </w:r>
      <w:proofErr w:type="spellStart"/>
      <w:r w:rsidRPr="000D4BED">
        <w:t>Narain</w:t>
      </w:r>
      <w:proofErr w:type="spellEnd"/>
      <w:r w:rsidRPr="000D4BED">
        <w:t xml:space="preserve"> Rao. "A Converted Brahmin's Account of Himself." "One More Voice." |</w:t>
      </w:r>
      <w:r w:rsidRPr="000D4BED">
        <w:br/>
        <w:t xml:space="preserve">One More Voice. Ed. Kenneth C. </w:t>
      </w:r>
      <w:proofErr w:type="spellStart"/>
      <w:r w:rsidRPr="000D4BED">
        <w:t>Crowel</w:t>
      </w:r>
      <w:proofErr w:type="spellEnd"/>
      <w:r w:rsidRPr="000D4BED">
        <w:t>, Cassie Fletcher, and Jocelyn Spoor. (1851) 2022.</w:t>
      </w:r>
      <w:r w:rsidRPr="000D4BED">
        <w:br/>
        <w:t>Web. &lt;https://onemorevoice.org/html/bipoc-voices/digital-editions</w:t>
      </w:r>
      <w:r w:rsidR="00837F63">
        <w:t>-</w:t>
      </w:r>
      <w:r w:rsidRPr="000D4BED">
        <w:t>amd/liv_026006_HTML.html&gt;.</w:t>
      </w:r>
      <w:r w:rsidRPr="000D4BED">
        <w:br/>
      </w:r>
    </w:p>
    <w:p w14:paraId="07C4DF0A" w14:textId="77777777" w:rsidR="00837F63" w:rsidRDefault="000D4BED" w:rsidP="000D4BED">
      <w:r w:rsidRPr="000D4BED">
        <w:t>This text follows a European’s interpretation of Indian convert’s account of himself as a</w:t>
      </w:r>
      <w:r w:rsidRPr="000D4BED">
        <w:br/>
        <w:t>Christian, looking back at his Hindu past and corresponding cultural practices compared to</w:t>
      </w:r>
      <w:r w:rsidRPr="000D4BED">
        <w:br/>
        <w:t>his current life as a Christian.</w:t>
      </w:r>
      <w:r w:rsidRPr="000D4BED">
        <w:br/>
        <w:t>Themes: colonial view (by both colonizer and colonized) of native land and culture/colonized</w:t>
      </w:r>
      <w:r w:rsidRPr="000D4BED">
        <w:br/>
        <w:t>view of colonial culture, religion as a colonizing tool.</w:t>
      </w:r>
      <w:r w:rsidRPr="000D4BED">
        <w:br/>
      </w:r>
    </w:p>
    <w:p w14:paraId="5AADFBE5" w14:textId="7E2F71DC" w:rsidR="00837F63" w:rsidRDefault="000D4BED" w:rsidP="000D4BED">
      <w:r w:rsidRPr="000D4BED">
        <w:t xml:space="preserve">Anonymous; </w:t>
      </w:r>
      <w:proofErr w:type="spellStart"/>
      <w:r w:rsidRPr="000D4BED">
        <w:t>Poonapun</w:t>
      </w:r>
      <w:proofErr w:type="spellEnd"/>
      <w:r w:rsidRPr="000D4BED">
        <w:t xml:space="preserve">; </w:t>
      </w:r>
      <w:proofErr w:type="spellStart"/>
      <w:r w:rsidRPr="000D4BED">
        <w:t>Authautchee</w:t>
      </w:r>
      <w:proofErr w:type="spellEnd"/>
      <w:r w:rsidRPr="000D4BED">
        <w:t>. “India. Bellary.” “BIPOC Voices,” One More Voice,</w:t>
      </w:r>
      <w:r w:rsidRPr="000D4BED">
        <w:br/>
        <w:t xml:space="preserve">solidarity edition; Collaborative Organization for Virtual Education (COVE). Ed. Trevor </w:t>
      </w:r>
      <w:proofErr w:type="spellStart"/>
      <w:r w:rsidRPr="000D4BED">
        <w:t>Bleick</w:t>
      </w:r>
      <w:proofErr w:type="spellEnd"/>
      <w:r w:rsidRPr="000D4BED">
        <w:t>,</w:t>
      </w:r>
      <w:r w:rsidRPr="000D4BED">
        <w:br/>
        <w:t xml:space="preserve">Kenneth C. Crowell, and Kasey Peters, translated by J. </w:t>
      </w:r>
      <w:proofErr w:type="spellStart"/>
      <w:r w:rsidRPr="000D4BED">
        <w:t>Shrieves</w:t>
      </w:r>
      <w:proofErr w:type="spellEnd"/>
      <w:r w:rsidRPr="000D4BED">
        <w:t>. (1852)</w:t>
      </w:r>
      <w:r w:rsidRPr="000D4BED">
        <w:br/>
        <w:t xml:space="preserve">2022 </w:t>
      </w:r>
      <w:hyperlink r:id="rId6" w:history="1">
        <w:r w:rsidR="00837F63" w:rsidRPr="000D4BED">
          <w:rPr>
            <w:rStyle w:val="Hyperlink"/>
          </w:rPr>
          <w:t>https://onemorevoice.org/html/bipoc-voices/digital-editions-soas/liv_025032_HTML.html</w:t>
        </w:r>
      </w:hyperlink>
      <w:r w:rsidRPr="000D4BED">
        <w:t>.</w:t>
      </w:r>
    </w:p>
    <w:p w14:paraId="748C5A78" w14:textId="77777777" w:rsidR="00584ED5" w:rsidRDefault="000D4BED" w:rsidP="000D4BED">
      <w:r w:rsidRPr="000D4BED">
        <w:br/>
        <w:t>This work follows the separate accounts of an Indian couple who had been converted to</w:t>
      </w:r>
      <w:r w:rsidRPr="000D4BED">
        <w:br/>
        <w:t>Christianity, comparing their past lives as Hindus to their current lives as Christians.</w:t>
      </w:r>
      <w:r w:rsidRPr="000D4BED">
        <w:br/>
        <w:t>Themes: colonial view (by both colonizer and colonized) of native land and culture/colonized</w:t>
      </w:r>
      <w:r w:rsidRPr="000D4BED">
        <w:br/>
        <w:t>view of colonial culture, religion as a colonizing tool.</w:t>
      </w:r>
    </w:p>
    <w:p w14:paraId="561F53BF" w14:textId="77777777" w:rsidR="00584ED5" w:rsidRDefault="000D4BED" w:rsidP="000D4BED">
      <w:r w:rsidRPr="000D4BED">
        <w:br/>
        <w:t xml:space="preserve">Anonymous; W. Clarkson; </w:t>
      </w:r>
      <w:proofErr w:type="spellStart"/>
      <w:r w:rsidRPr="000D4BED">
        <w:t>Gungaram</w:t>
      </w:r>
      <w:proofErr w:type="spellEnd"/>
      <w:r w:rsidRPr="000D4BED">
        <w:t>. “The Hindus.” “One More Voice”. “BIPOC Voices,” One</w:t>
      </w:r>
      <w:r w:rsidRPr="000D4BED">
        <w:br/>
        <w:t>More Voice, solidarity edition; Collaborative Organization for Virtual Education (COVE). Ed.</w:t>
      </w:r>
      <w:r w:rsidRPr="000D4BED">
        <w:br/>
        <w:t>Kenneth C. Crowell, Cassie Fletcher, and Jocelyn Spoor. (1852) 2022. Web.</w:t>
      </w:r>
      <w:r w:rsidRPr="000D4BED">
        <w:br/>
        <w:t>https://onemorevoice.org/html/bipoc-voices/digital-editions-amd/liv_026014_HTML.html.</w:t>
      </w:r>
      <w:r w:rsidRPr="000D4BED">
        <w:br/>
      </w:r>
    </w:p>
    <w:p w14:paraId="52C80707" w14:textId="77777777" w:rsidR="00584ED5" w:rsidRDefault="000D4BED" w:rsidP="000D4BED">
      <w:r w:rsidRPr="000D4BED">
        <w:lastRenderedPageBreak/>
        <w:t>This work follows the account of a converted Indian “teacher” of Christianity, on his</w:t>
      </w:r>
      <w:r w:rsidRPr="000D4BED">
        <w:br/>
        <w:t>missionary trip to Gujarat with a European missionary.</w:t>
      </w:r>
      <w:r w:rsidR="00584ED5">
        <w:t xml:space="preserve"> </w:t>
      </w:r>
    </w:p>
    <w:p w14:paraId="67A96A0F" w14:textId="77777777" w:rsidR="00584ED5" w:rsidRDefault="000D4BED" w:rsidP="000D4BED">
      <w:r w:rsidRPr="000D4BED">
        <w:t>Themes: colonial view (by both colonizer and colonized) of native land and culture/colonized</w:t>
      </w:r>
      <w:r w:rsidRPr="000D4BED">
        <w:br/>
        <w:t>view of colonial culture, religion as a colonizing tool.</w:t>
      </w:r>
    </w:p>
    <w:p w14:paraId="3FCBBB4A" w14:textId="77777777" w:rsidR="00584ED5" w:rsidRDefault="000D4BED" w:rsidP="000D4BED">
      <w:r w:rsidRPr="000D4BED">
        <w:br/>
        <w:t>Themes:</w:t>
      </w:r>
      <w:r w:rsidRPr="000D4BED">
        <w:br/>
        <w:t>Colonial view (by both colonizer and colonized) of native land and culture/colonized view of</w:t>
      </w:r>
      <w:r w:rsidRPr="000D4BED">
        <w:br/>
        <w:t>colonial culture: This thematic connection among the prior mentioned primary works from</w:t>
      </w:r>
      <w:r w:rsidRPr="000D4BED">
        <w:br/>
        <w:t>One More Voice as well as the below mentioned critical works explores the different ways in</w:t>
      </w:r>
      <w:r w:rsidRPr="000D4BED">
        <w:br/>
        <w:t>which the colonizer, and those among the colonized who had internalized the colonial logic</w:t>
      </w:r>
      <w:r w:rsidRPr="000D4BED">
        <w:br/>
        <w:t>viewed the colonized people, land and cultures, compared to the ways in which the</w:t>
      </w:r>
      <w:r w:rsidRPr="000D4BED">
        <w:br/>
        <w:t>colonized viewed the colonizers culture and people.</w:t>
      </w:r>
    </w:p>
    <w:p w14:paraId="0518128A" w14:textId="77777777" w:rsidR="00584ED5" w:rsidRDefault="000D4BED" w:rsidP="000D4BED">
      <w:r w:rsidRPr="000D4BED">
        <w:br/>
        <w:t>Religion as a colonizing tool: This thematic connection among the primary works as well as</w:t>
      </w:r>
      <w:r w:rsidRPr="000D4BED">
        <w:br/>
        <w:t>the critical works explores the ways in which religion, specifically Christianity was used as a</w:t>
      </w:r>
      <w:r w:rsidRPr="000D4BED">
        <w:br/>
        <w:t>tool to propagate and internalize colonial logic and ideas of colonial superiority among the</w:t>
      </w:r>
      <w:r w:rsidRPr="000D4BED">
        <w:br/>
        <w:t>colonized people.</w:t>
      </w:r>
    </w:p>
    <w:p w14:paraId="4FCD41E1" w14:textId="05DCDD07" w:rsidR="00837F63" w:rsidRDefault="000D4BED" w:rsidP="000D4BED">
      <w:r w:rsidRPr="000D4BED">
        <w:br/>
        <w:t>Language as a colonizing tool: This thematic connection among the primary works from One</w:t>
      </w:r>
      <w:r w:rsidRPr="000D4BED">
        <w:br/>
        <w:t>More Voice, as well as the critical works explores the ways in which the European languages,</w:t>
      </w:r>
      <w:r w:rsidRPr="000D4BED">
        <w:br/>
        <w:t>especially English were used as a tool to propagate and internalize colonial logic and ideas of</w:t>
      </w:r>
      <w:r w:rsidRPr="000D4BED">
        <w:br/>
        <w:t>colonial superiority among the colonized people.</w:t>
      </w:r>
    </w:p>
    <w:p w14:paraId="1D05DAEB" w14:textId="77777777" w:rsidR="00584ED5" w:rsidRDefault="000D4BED" w:rsidP="000D4BED">
      <w:r w:rsidRPr="000D4BED">
        <w:br/>
        <w:t>Annotated Bibliography of Critical works based on themes:</w:t>
      </w:r>
    </w:p>
    <w:p w14:paraId="6D644D59" w14:textId="77777777" w:rsidR="00584ED5" w:rsidRDefault="000D4BED" w:rsidP="000D4BED">
      <w:r w:rsidRPr="000D4BED">
        <w:br/>
        <w:t>Language as a colonizing tool:</w:t>
      </w:r>
      <w:r w:rsidRPr="000D4BED">
        <w:br/>
        <w:t>Paul St-Pierre. “TRANSLATING (INTO) THE LANGUAGE OF THE COLONIZER.”</w:t>
      </w:r>
      <w:r w:rsidRPr="000D4BED">
        <w:br/>
        <w:t>Changing the Terms: Translating in the Postcolonial Era, edited by Paul St-Pierre and</w:t>
      </w:r>
      <w:r w:rsidRPr="000D4BED">
        <w:br/>
        <w:t>Sherry Simon, University of Ottawa Press, 2000, pp. 261–88. JSTOR,</w:t>
      </w:r>
      <w:r w:rsidR="00584ED5">
        <w:t xml:space="preserve"> </w:t>
      </w:r>
      <w:r w:rsidRPr="000D4BED">
        <w:t>https://doi.org/10.2307/j.ctt1ckpcz7.17. Accessed 8 Mar. 2023.</w:t>
      </w:r>
      <w:r w:rsidRPr="000D4BED">
        <w:br/>
      </w:r>
    </w:p>
    <w:p w14:paraId="3D97A8F8" w14:textId="77777777" w:rsidR="00584ED5" w:rsidRDefault="000D4BED" w:rsidP="000D4BED">
      <w:r w:rsidRPr="000D4BED">
        <w:t>This text looks at three different English translations of the Marathi text “</w:t>
      </w:r>
      <w:proofErr w:type="spellStart"/>
      <w:r w:rsidRPr="000D4BED">
        <w:t>Chha</w:t>
      </w:r>
      <w:proofErr w:type="spellEnd"/>
      <w:r w:rsidRPr="000D4BED">
        <w:t xml:space="preserve"> Mana Atha</w:t>
      </w:r>
      <w:r w:rsidRPr="000D4BED">
        <w:br/>
      </w:r>
      <w:proofErr w:type="spellStart"/>
      <w:r w:rsidRPr="000D4BED">
        <w:t>Guntha</w:t>
      </w:r>
      <w:proofErr w:type="spellEnd"/>
      <w:r w:rsidRPr="000D4BED">
        <w:t>”, in an attempt to see how the varied ways in which the themes of colonial law and</w:t>
      </w:r>
      <w:r w:rsidRPr="000D4BED">
        <w:br/>
        <w:t xml:space="preserve">language and their </w:t>
      </w:r>
      <w:proofErr w:type="spellStart"/>
      <w:r w:rsidRPr="000D4BED">
        <w:t>impoitions</w:t>
      </w:r>
      <w:proofErr w:type="spellEnd"/>
      <w:r w:rsidRPr="000D4BED">
        <w:t xml:space="preserve"> are dealt with based on the different translations. This critical</w:t>
      </w:r>
      <w:r w:rsidRPr="000D4BED">
        <w:br/>
        <w:t>work is relevant to my project as it deals with the ways in which colonial language practices</w:t>
      </w:r>
      <w:r w:rsidRPr="000D4BED">
        <w:br/>
        <w:t>shape the ways people think about the colonizers and, their policies and practices.</w:t>
      </w:r>
      <w:r w:rsidRPr="000D4BED">
        <w:br/>
      </w:r>
    </w:p>
    <w:p w14:paraId="12C64E90" w14:textId="77777777" w:rsidR="00584ED5" w:rsidRDefault="000D4BED" w:rsidP="000D4BED">
      <w:proofErr w:type="spellStart"/>
      <w:r w:rsidRPr="000D4BED">
        <w:t>Cyrelene</w:t>
      </w:r>
      <w:proofErr w:type="spellEnd"/>
      <w:r w:rsidRPr="000D4BED">
        <w:t xml:space="preserve"> Amoah </w:t>
      </w:r>
      <w:proofErr w:type="spellStart"/>
      <w:r w:rsidRPr="000D4BED">
        <w:t>Boampong</w:t>
      </w:r>
      <w:proofErr w:type="spellEnd"/>
      <w:r w:rsidRPr="000D4BED">
        <w:t>. “RETHINKING BRITISH COLONIAL POLICY IN THE</w:t>
      </w:r>
      <w:r w:rsidRPr="000D4BED">
        <w:br/>
        <w:t>GOLD COAST: THE LANGUAGE FACTOR.” Transactions of the Historical Society of</w:t>
      </w:r>
      <w:r w:rsidRPr="000D4BED">
        <w:br/>
        <w:t>Ghana, no. 15, 2013, pp. 137–57. JSTOR, http://www.jstor.org/stable/43855015. Accessed 8</w:t>
      </w:r>
      <w:r w:rsidRPr="000D4BED">
        <w:br/>
        <w:t>Mar. 2023.</w:t>
      </w:r>
    </w:p>
    <w:p w14:paraId="18426FEC" w14:textId="77777777" w:rsidR="00584ED5" w:rsidRDefault="000D4BED" w:rsidP="000D4BED">
      <w:r w:rsidRPr="000D4BED">
        <w:br/>
        <w:t>This text aims to complicate the ways in which British imposition of English language</w:t>
      </w:r>
      <w:r w:rsidRPr="000D4BED">
        <w:br/>
      </w:r>
      <w:r w:rsidRPr="000D4BED">
        <w:lastRenderedPageBreak/>
        <w:t>affected the native languages and cultures in the gold coast of Africa, and raise awareness of</w:t>
      </w:r>
      <w:r w:rsidRPr="000D4BED">
        <w:br/>
        <w:t>the importance of the native languages to the colonial project. This is relevant to my project</w:t>
      </w:r>
      <w:r w:rsidRPr="000D4BED">
        <w:br/>
        <w:t>as it explores the various nuances that affect, facilitate and negate colonial language</w:t>
      </w:r>
      <w:r w:rsidR="00584ED5">
        <w:t xml:space="preserve"> </w:t>
      </w:r>
      <w:r w:rsidRPr="000D4BED">
        <w:t>impositions, and how after the initial imposition directly by the colonial administration, the</w:t>
      </w:r>
      <w:r w:rsidRPr="000D4BED">
        <w:br/>
        <w:t>imposition of the language’s supposed superiority is carried forward by the anglicized</w:t>
      </w:r>
      <w:r w:rsidRPr="000D4BED">
        <w:br/>
        <w:t>colonized population as well.</w:t>
      </w:r>
    </w:p>
    <w:p w14:paraId="0818F2B0" w14:textId="77777777" w:rsidR="00584ED5" w:rsidRDefault="000D4BED" w:rsidP="000D4BED">
      <w:r w:rsidRPr="000D4BED">
        <w:br/>
        <w:t xml:space="preserve">Derek Peterson. “Colonizing Language? Missionaries and </w:t>
      </w:r>
      <w:proofErr w:type="spellStart"/>
      <w:r w:rsidRPr="000D4BED">
        <w:t>Gikuyu</w:t>
      </w:r>
      <w:proofErr w:type="spellEnd"/>
      <w:r w:rsidRPr="000D4BED">
        <w:t xml:space="preserve"> Dictionaries, 1904 and</w:t>
      </w:r>
      <w:r w:rsidRPr="000D4BED">
        <w:br/>
        <w:t>1914.” History in Africa, vol. 24, 1997, pp. 257–72. JSTOR, https://doi.org/10.2307/3172029.</w:t>
      </w:r>
      <w:r w:rsidRPr="000D4BED">
        <w:br/>
        <w:t>Accessed 8 Mar. 2023.</w:t>
      </w:r>
      <w:r w:rsidRPr="000D4BED">
        <w:br/>
        <w:t>This text explores two other primary texts authored by European missionaries where they</w:t>
      </w:r>
      <w:r w:rsidRPr="000D4BED">
        <w:br/>
        <w:t xml:space="preserve">attempt to codify the </w:t>
      </w:r>
      <w:proofErr w:type="spellStart"/>
      <w:r w:rsidRPr="000D4BED">
        <w:t>Gikuyu</w:t>
      </w:r>
      <w:proofErr w:type="spellEnd"/>
      <w:r w:rsidRPr="000D4BED">
        <w:t xml:space="preserve"> language of Kenya into English grammatical syntax. This text is</w:t>
      </w:r>
      <w:r w:rsidRPr="000D4BED">
        <w:br/>
        <w:t>important to my project as it looks at these two “dictionaries” as historical texts in an attempt</w:t>
      </w:r>
      <w:r w:rsidRPr="000D4BED">
        <w:br/>
        <w:t>to bring out the ways in which said dictionaries embodied the complexities and contingencies</w:t>
      </w:r>
      <w:r w:rsidRPr="000D4BED">
        <w:br/>
        <w:t>built into the structure of colonial hegemonic rule.</w:t>
      </w:r>
    </w:p>
    <w:p w14:paraId="1A691149" w14:textId="77777777" w:rsidR="00584ED5" w:rsidRDefault="000D4BED" w:rsidP="000D4BED">
      <w:r w:rsidRPr="000D4BED">
        <w:br/>
        <w:t>Religion as a colonizing tool:</w:t>
      </w:r>
      <w:r w:rsidRPr="000D4BED">
        <w:br/>
        <w:t xml:space="preserve">Fidelis </w:t>
      </w:r>
      <w:proofErr w:type="spellStart"/>
      <w:r w:rsidRPr="000D4BED">
        <w:t>Nkomazana</w:t>
      </w:r>
      <w:proofErr w:type="spellEnd"/>
      <w:r w:rsidRPr="000D4BED">
        <w:t xml:space="preserve">, and </w:t>
      </w:r>
      <w:proofErr w:type="spellStart"/>
      <w:r w:rsidRPr="000D4BED">
        <w:t>Senzokuhle</w:t>
      </w:r>
      <w:proofErr w:type="spellEnd"/>
      <w:r w:rsidRPr="000D4BED">
        <w:t xml:space="preserve"> Doreen </w:t>
      </w:r>
      <w:proofErr w:type="spellStart"/>
      <w:r w:rsidRPr="000D4BED">
        <w:t>Setume</w:t>
      </w:r>
      <w:proofErr w:type="spellEnd"/>
      <w:r w:rsidRPr="000D4BED">
        <w:t>. “Missionary Colonial Mentality and the</w:t>
      </w:r>
      <w:r w:rsidRPr="000D4BED">
        <w:br/>
        <w:t>Expansion of Christianity in Bechuanaland Protectorate, 1800 to 1900.” Journal for the Study</w:t>
      </w:r>
      <w:r w:rsidRPr="000D4BED">
        <w:br/>
        <w:t>of Religion, vol. 29, no. 2, 2016, pp. 29–55. JSTOR, http://www.jstor.org/stable/24902913.</w:t>
      </w:r>
      <w:r w:rsidRPr="000D4BED">
        <w:br/>
        <w:t>Accessed 8 Mar. 2023.</w:t>
      </w:r>
      <w:r w:rsidRPr="000D4BED">
        <w:br/>
        <w:t>This text looks at the theological similarities between the Batswana and Christian religious</w:t>
      </w:r>
      <w:r w:rsidRPr="000D4BED">
        <w:br/>
        <w:t>beliefs, which the missionaries rejected, and explains how Christianity thrived in the region</w:t>
      </w:r>
      <w:r w:rsidRPr="000D4BED">
        <w:br/>
        <w:t>not because of missionary work, but in spite of it. This is important to my project as it looks</w:t>
      </w:r>
      <w:r w:rsidRPr="000D4BED">
        <w:br/>
        <w:t>into the often-overlooked idea of assimilation of an initially imposed cultural practice into the</w:t>
      </w:r>
      <w:r w:rsidRPr="000D4BED">
        <w:br/>
        <w:t>culture, and brings out the concept that not only were religious practices imposed, they were</w:t>
      </w:r>
      <w:r w:rsidRPr="000D4BED">
        <w:br/>
        <w:t>not allowed to be assimilated into the culture upon which it was imposed.</w:t>
      </w:r>
      <w:r w:rsidRPr="000D4BED">
        <w:br/>
      </w:r>
    </w:p>
    <w:p w14:paraId="72A1D152" w14:textId="77777777" w:rsidR="00584ED5" w:rsidRDefault="000D4BED" w:rsidP="000D4BED">
      <w:r w:rsidRPr="000D4BED">
        <w:t>V. Subramaniam. “</w:t>
      </w:r>
      <w:proofErr w:type="spellStart"/>
      <w:r w:rsidRPr="000D4BED">
        <w:t>Consequencies</w:t>
      </w:r>
      <w:proofErr w:type="spellEnd"/>
      <w:r w:rsidRPr="000D4BED">
        <w:t xml:space="preserve"> of Christian Missionary Education.” Third World</w:t>
      </w:r>
      <w:r w:rsidRPr="000D4BED">
        <w:br/>
        <w:t>Quarterly, vol. 1, no. 3, 1979, pp. 129–31. JSTOR, http://www.jstor.org/stable/3990283.</w:t>
      </w:r>
      <w:r w:rsidRPr="000D4BED">
        <w:br/>
        <w:t>Accessed 8 Mar. 2023.</w:t>
      </w:r>
      <w:r w:rsidRPr="000D4BED">
        <w:br/>
        <w:t>This text explores the ways different ways in which Christian missionary work and religious</w:t>
      </w:r>
      <w:r w:rsidRPr="000D4BED">
        <w:br/>
        <w:t>imposition paved the way for various cultural revivalism movements in French occupied</w:t>
      </w:r>
      <w:r w:rsidRPr="000D4BED">
        <w:br/>
        <w:t>Africa, British occupied Africa and colonial India. This is important to my project as it</w:t>
      </w:r>
      <w:r w:rsidRPr="000D4BED">
        <w:br/>
        <w:t>explores how various cultures assimilate and subvert the exclusivist and indoctrinating</w:t>
      </w:r>
      <w:r w:rsidRPr="000D4BED">
        <w:br/>
        <w:t>principles that come with religious imposition and use them as tools against colonizers.</w:t>
      </w:r>
      <w:r w:rsidRPr="000D4BED">
        <w:br/>
      </w:r>
    </w:p>
    <w:p w14:paraId="05696D51" w14:textId="4BC8D50A" w:rsidR="000D4BED" w:rsidRPr="000D4BED" w:rsidRDefault="000D4BED" w:rsidP="000D4BED">
      <w:r w:rsidRPr="000D4BED">
        <w:t>Clayton G Mackenzie. “</w:t>
      </w:r>
      <w:proofErr w:type="spellStart"/>
      <w:r w:rsidRPr="000D4BED">
        <w:t>Demythologising</w:t>
      </w:r>
      <w:proofErr w:type="spellEnd"/>
      <w:r w:rsidRPr="000D4BED">
        <w:t xml:space="preserve"> the Missionaries: A Reassessment of the Functions</w:t>
      </w:r>
      <w:r w:rsidRPr="000D4BED">
        <w:br/>
        <w:t>and Relationships of Christian Missionary Education under Colonialism.” Comparative</w:t>
      </w:r>
      <w:r w:rsidRPr="000D4BED">
        <w:br/>
        <w:t>Education, vol. 29, no. 1, 1993, pp. 45–66. JSTOR, http://www.jstor.org/stable/3099223.</w:t>
      </w:r>
      <w:r w:rsidRPr="000D4BED">
        <w:br/>
        <w:t>Accessed 8 Mar. 2023.</w:t>
      </w:r>
      <w:r w:rsidRPr="000D4BED">
        <w:br/>
        <w:t>This text explores the relationship between missionary education and colonial rule from</w:t>
      </w:r>
      <w:r w:rsidRPr="000D4BED">
        <w:br/>
        <w:t>various angles and across various colonized lands, and how those relations affect the modern</w:t>
      </w:r>
      <w:r w:rsidRPr="000D4BED">
        <w:br/>
        <w:t>post-colonial education policies in said areas. This is important to my project as it attempts to</w:t>
      </w:r>
      <w:r w:rsidRPr="000D4BED">
        <w:br/>
        <w:t>(in an almost apologetic way) to separate the missionary work from the colonial imperative</w:t>
      </w:r>
      <w:r w:rsidRPr="000D4BED">
        <w:br/>
      </w:r>
      <w:r w:rsidRPr="000D4BED">
        <w:lastRenderedPageBreak/>
        <w:t>and provides a look into the discourse of missionary work outside of the colonial</w:t>
      </w:r>
      <w:r w:rsidRPr="000D4BED">
        <w:br/>
        <w:t>administrative angle.</w:t>
      </w:r>
    </w:p>
    <w:p w14:paraId="1CA6739B" w14:textId="77777777" w:rsidR="00584ED5" w:rsidRDefault="000D4BED" w:rsidP="000D4BED">
      <w:r w:rsidRPr="000D4BED">
        <w:t>Colonial view (by both colonizer and colonized) of native land and culture/colonized view of</w:t>
      </w:r>
      <w:r w:rsidRPr="000D4BED">
        <w:br/>
        <w:t>colonial culture:</w:t>
      </w:r>
      <w:r w:rsidRPr="000D4BED">
        <w:br/>
        <w:t>Deepak Kumar. “The ‘Culture’ of Science and Colonial Culture, India 1820-1920.” The</w:t>
      </w:r>
      <w:r w:rsidRPr="000D4BED">
        <w:br/>
        <w:t>British Journal for the History of Science, vol. 29, no. 2, 1996, pp. 195–209. JSTOR,</w:t>
      </w:r>
      <w:r w:rsidRPr="000D4BED">
        <w:br/>
        <w:t>http://www.jstor.org/stable/4027833. Accessed 8 Mar. 2023.</w:t>
      </w:r>
    </w:p>
    <w:p w14:paraId="7FEB3BEA" w14:textId="77777777" w:rsidR="00584ED5" w:rsidRDefault="000D4BED" w:rsidP="000D4BED">
      <w:r w:rsidRPr="000D4BED">
        <w:br/>
        <w:t>This work focuses on the different ways in which the colonizer and the colonized viewed</w:t>
      </w:r>
      <w:r w:rsidRPr="000D4BED">
        <w:br/>
        <w:t>each other’s techno-scientific background and the different attitudes both had towards the</w:t>
      </w:r>
      <w:r w:rsidRPr="000D4BED">
        <w:br/>
        <w:t>other. This text is important to my project as it tries to demystify the pre-colonial scientific</w:t>
      </w:r>
      <w:r w:rsidRPr="000D4BED">
        <w:br/>
        <w:t>past to Indian society as well as exposing the very different attitudes each side had towards</w:t>
      </w:r>
      <w:r w:rsidRPr="000D4BED">
        <w:br/>
        <w:t>each other’s scientific culture.</w:t>
      </w:r>
    </w:p>
    <w:p w14:paraId="3C57548A" w14:textId="77777777" w:rsidR="00584ED5" w:rsidRDefault="000D4BED" w:rsidP="000D4BED">
      <w:r w:rsidRPr="000D4BED">
        <w:br/>
        <w:t>Deepak Kumar. “Science and Society in Colonial India: Exploring an Agenda.” Social</w:t>
      </w:r>
      <w:r w:rsidRPr="000D4BED">
        <w:br/>
        <w:t>Scientist, vol. 28, no. 5/6, 2000, pp. 24–46. JSTOR, https://doi.org/10.2307/3518179.</w:t>
      </w:r>
      <w:r w:rsidRPr="000D4BED">
        <w:br/>
        <w:t>Accessed 8 Mar. 2023.</w:t>
      </w:r>
      <w:r w:rsidRPr="000D4BED">
        <w:br/>
        <w:t>This work explores the impact of colonial rule on the sciences and scientific attitude in India,</w:t>
      </w:r>
      <w:r w:rsidRPr="000D4BED">
        <w:br/>
        <w:t>both positively and negatively, and traces the chronological progression of the events that</w:t>
      </w:r>
      <w:r w:rsidRPr="000D4BED">
        <w:br/>
        <w:t>shaped this relation. This is important to my project as it explores the different events and</w:t>
      </w:r>
      <w:r w:rsidRPr="000D4BED">
        <w:br/>
        <w:t>time periods that led to the development of the relation between colonial India and the</w:t>
      </w:r>
      <w:r w:rsidRPr="000D4BED">
        <w:br/>
        <w:t>sciences from initial contact and ensuing conflict, to imposition to assimilation to</w:t>
      </w:r>
      <w:r w:rsidRPr="000D4BED">
        <w:br/>
        <w:t>revitalization and reconstruction.</w:t>
      </w:r>
    </w:p>
    <w:p w14:paraId="38937F7D" w14:textId="7E6679B0" w:rsidR="000D4BED" w:rsidRPr="000D4BED" w:rsidRDefault="000D4BED" w:rsidP="000D4BED">
      <w:r w:rsidRPr="000D4BED">
        <w:br/>
        <w:t>Bhaskar Mukhopadhyay. “Writing Home, Writing Travel: The Poetics and Politics of</w:t>
      </w:r>
      <w:r w:rsidRPr="000D4BED">
        <w:br/>
        <w:t>Dwelling in Bengali Modernity.” Comparative Studies in Society and History, vol. 44, no. 2,</w:t>
      </w:r>
      <w:r w:rsidRPr="000D4BED">
        <w:br/>
        <w:t>2002, pp. 293–318. JSTOR, http://www.jstor.org/stable/3879448. Accessed 8 Mar. 2023.</w:t>
      </w:r>
      <w:r w:rsidRPr="000D4BED">
        <w:br/>
        <w:t>This work explores how a “foreign” language and its various forms of written and oral</w:t>
      </w:r>
      <w:r w:rsidRPr="000D4BED">
        <w:br/>
        <w:t xml:space="preserve">presentations </w:t>
      </w:r>
      <w:proofErr w:type="gramStart"/>
      <w:r w:rsidRPr="000D4BED">
        <w:t>affects</w:t>
      </w:r>
      <w:proofErr w:type="gramEnd"/>
      <w:r w:rsidRPr="000D4BED">
        <w:t xml:space="preserve"> identity, and how said identities affect the language in discursive ways.</w:t>
      </w:r>
      <w:r w:rsidRPr="000D4BED">
        <w:br/>
        <w:t>This is important to my project as it explores how when one internalizes the colonizers</w:t>
      </w:r>
      <w:r w:rsidRPr="000D4BED">
        <w:br/>
        <w:t>language, it affects their identity and how it is perceived by both colonizers and fellow</w:t>
      </w:r>
      <w:r w:rsidRPr="000D4BED">
        <w:br/>
        <w:t>colonized, and how they in turn they mold the language based on their culture and</w:t>
      </w:r>
      <w:r w:rsidRPr="000D4BED">
        <w:br/>
        <w:t>experiences.</w:t>
      </w:r>
    </w:p>
    <w:p w14:paraId="7C5013CE" w14:textId="77777777" w:rsidR="00F77DF3" w:rsidRDefault="00F77DF3"/>
    <w:sectPr w:rsidR="00F77DF3" w:rsidSect="00886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BED"/>
    <w:rsid w:val="000D4BED"/>
    <w:rsid w:val="00362203"/>
    <w:rsid w:val="00584ED5"/>
    <w:rsid w:val="00837F63"/>
    <w:rsid w:val="00886C61"/>
    <w:rsid w:val="00A66B00"/>
    <w:rsid w:val="00F77DF3"/>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2EB7B"/>
  <w15:chartTrackingRefBased/>
  <w15:docId w15:val="{335FACA4-1DD6-4847-8A35-D0B2AEBC8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2203"/>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837F63"/>
    <w:rPr>
      <w:color w:val="0563C1" w:themeColor="hyperlink"/>
      <w:u w:val="single"/>
    </w:rPr>
  </w:style>
  <w:style w:type="character" w:styleId="UnresolvedMention">
    <w:name w:val="Unresolved Mention"/>
    <w:basedOn w:val="DefaultParagraphFont"/>
    <w:uiPriority w:val="99"/>
    <w:semiHidden/>
    <w:unhideWhenUsed/>
    <w:rsid w:val="00837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455563">
      <w:bodyDiv w:val="1"/>
      <w:marLeft w:val="0"/>
      <w:marRight w:val="0"/>
      <w:marTop w:val="0"/>
      <w:marBottom w:val="0"/>
      <w:divBdr>
        <w:top w:val="none" w:sz="0" w:space="0" w:color="auto"/>
        <w:left w:val="none" w:sz="0" w:space="0" w:color="auto"/>
        <w:bottom w:val="none" w:sz="0" w:space="0" w:color="auto"/>
        <w:right w:val="none" w:sz="0" w:space="0" w:color="auto"/>
      </w:divBdr>
      <w:divsChild>
        <w:div w:id="1569613977">
          <w:marLeft w:val="0"/>
          <w:marRight w:val="0"/>
          <w:marTop w:val="100"/>
          <w:marBottom w:val="100"/>
          <w:divBdr>
            <w:top w:val="none" w:sz="0" w:space="0" w:color="auto"/>
            <w:left w:val="none" w:sz="0" w:space="0" w:color="auto"/>
            <w:bottom w:val="none" w:sz="0" w:space="0" w:color="auto"/>
            <w:right w:val="none" w:sz="0" w:space="0" w:color="auto"/>
          </w:divBdr>
          <w:divsChild>
            <w:div w:id="1228691091">
              <w:marLeft w:val="0"/>
              <w:marRight w:val="0"/>
              <w:marTop w:val="750"/>
              <w:marBottom w:val="750"/>
              <w:divBdr>
                <w:top w:val="none" w:sz="0" w:space="0" w:color="auto"/>
                <w:left w:val="none" w:sz="0" w:space="0" w:color="auto"/>
                <w:bottom w:val="none" w:sz="0" w:space="0" w:color="auto"/>
                <w:right w:val="none" w:sz="0" w:space="0" w:color="auto"/>
              </w:divBdr>
              <w:divsChild>
                <w:div w:id="645088616">
                  <w:marLeft w:val="0"/>
                  <w:marRight w:val="0"/>
                  <w:marTop w:val="0"/>
                  <w:marBottom w:val="0"/>
                  <w:divBdr>
                    <w:top w:val="none" w:sz="0" w:space="0" w:color="auto"/>
                    <w:left w:val="none" w:sz="0" w:space="0" w:color="auto"/>
                    <w:bottom w:val="none" w:sz="0" w:space="0" w:color="auto"/>
                    <w:right w:val="none" w:sz="0" w:space="0" w:color="auto"/>
                  </w:divBdr>
                  <w:divsChild>
                    <w:div w:id="597327418">
                      <w:marLeft w:val="0"/>
                      <w:marRight w:val="0"/>
                      <w:marTop w:val="0"/>
                      <w:marBottom w:val="0"/>
                      <w:divBdr>
                        <w:top w:val="none" w:sz="0" w:space="0" w:color="auto"/>
                        <w:left w:val="none" w:sz="0" w:space="0" w:color="auto"/>
                        <w:bottom w:val="none" w:sz="0" w:space="0" w:color="auto"/>
                        <w:right w:val="none" w:sz="0" w:space="0" w:color="auto"/>
                      </w:divBdr>
                      <w:divsChild>
                        <w:div w:id="1912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577935">
          <w:marLeft w:val="0"/>
          <w:marRight w:val="0"/>
          <w:marTop w:val="100"/>
          <w:marBottom w:val="100"/>
          <w:divBdr>
            <w:top w:val="dashed" w:sz="6" w:space="0" w:color="A8A8A8"/>
            <w:left w:val="none" w:sz="0" w:space="0" w:color="auto"/>
            <w:bottom w:val="none" w:sz="0" w:space="0" w:color="auto"/>
            <w:right w:val="none" w:sz="0" w:space="0" w:color="auto"/>
          </w:divBdr>
          <w:divsChild>
            <w:div w:id="1637644821">
              <w:marLeft w:val="0"/>
              <w:marRight w:val="0"/>
              <w:marTop w:val="750"/>
              <w:marBottom w:val="750"/>
              <w:divBdr>
                <w:top w:val="none" w:sz="0" w:space="0" w:color="auto"/>
                <w:left w:val="none" w:sz="0" w:space="0" w:color="auto"/>
                <w:bottom w:val="none" w:sz="0" w:space="0" w:color="auto"/>
                <w:right w:val="none" w:sz="0" w:space="0" w:color="auto"/>
              </w:divBdr>
              <w:divsChild>
                <w:div w:id="1879900573">
                  <w:marLeft w:val="0"/>
                  <w:marRight w:val="0"/>
                  <w:marTop w:val="0"/>
                  <w:marBottom w:val="0"/>
                  <w:divBdr>
                    <w:top w:val="none" w:sz="0" w:space="0" w:color="auto"/>
                    <w:left w:val="none" w:sz="0" w:space="0" w:color="auto"/>
                    <w:bottom w:val="none" w:sz="0" w:space="0" w:color="auto"/>
                    <w:right w:val="none" w:sz="0" w:space="0" w:color="auto"/>
                  </w:divBdr>
                  <w:divsChild>
                    <w:div w:id="1870482917">
                      <w:marLeft w:val="0"/>
                      <w:marRight w:val="0"/>
                      <w:marTop w:val="0"/>
                      <w:marBottom w:val="0"/>
                      <w:divBdr>
                        <w:top w:val="none" w:sz="0" w:space="0" w:color="auto"/>
                        <w:left w:val="none" w:sz="0" w:space="0" w:color="auto"/>
                        <w:bottom w:val="none" w:sz="0" w:space="0" w:color="auto"/>
                        <w:right w:val="none" w:sz="0" w:space="0" w:color="auto"/>
                      </w:divBdr>
                      <w:divsChild>
                        <w:div w:id="1310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085776">
          <w:marLeft w:val="0"/>
          <w:marRight w:val="0"/>
          <w:marTop w:val="100"/>
          <w:marBottom w:val="100"/>
          <w:divBdr>
            <w:top w:val="dashed" w:sz="6" w:space="0" w:color="A8A8A8"/>
            <w:left w:val="none" w:sz="0" w:space="0" w:color="auto"/>
            <w:bottom w:val="none" w:sz="0" w:space="0" w:color="auto"/>
            <w:right w:val="none" w:sz="0" w:space="0" w:color="auto"/>
          </w:divBdr>
          <w:divsChild>
            <w:div w:id="2028556359">
              <w:marLeft w:val="0"/>
              <w:marRight w:val="0"/>
              <w:marTop w:val="750"/>
              <w:marBottom w:val="750"/>
              <w:divBdr>
                <w:top w:val="none" w:sz="0" w:space="0" w:color="auto"/>
                <w:left w:val="none" w:sz="0" w:space="0" w:color="auto"/>
                <w:bottom w:val="none" w:sz="0" w:space="0" w:color="auto"/>
                <w:right w:val="none" w:sz="0" w:space="0" w:color="auto"/>
              </w:divBdr>
              <w:divsChild>
                <w:div w:id="1112171904">
                  <w:marLeft w:val="0"/>
                  <w:marRight w:val="0"/>
                  <w:marTop w:val="0"/>
                  <w:marBottom w:val="0"/>
                  <w:divBdr>
                    <w:top w:val="none" w:sz="0" w:space="0" w:color="auto"/>
                    <w:left w:val="none" w:sz="0" w:space="0" w:color="auto"/>
                    <w:bottom w:val="none" w:sz="0" w:space="0" w:color="auto"/>
                    <w:right w:val="none" w:sz="0" w:space="0" w:color="auto"/>
                  </w:divBdr>
                  <w:divsChild>
                    <w:div w:id="584191362">
                      <w:marLeft w:val="0"/>
                      <w:marRight w:val="0"/>
                      <w:marTop w:val="0"/>
                      <w:marBottom w:val="0"/>
                      <w:divBdr>
                        <w:top w:val="none" w:sz="0" w:space="0" w:color="auto"/>
                        <w:left w:val="none" w:sz="0" w:space="0" w:color="auto"/>
                        <w:bottom w:val="none" w:sz="0" w:space="0" w:color="auto"/>
                        <w:right w:val="none" w:sz="0" w:space="0" w:color="auto"/>
                      </w:divBdr>
                      <w:divsChild>
                        <w:div w:id="97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262793">
          <w:marLeft w:val="0"/>
          <w:marRight w:val="0"/>
          <w:marTop w:val="100"/>
          <w:marBottom w:val="100"/>
          <w:divBdr>
            <w:top w:val="dashed" w:sz="6" w:space="0" w:color="A8A8A8"/>
            <w:left w:val="none" w:sz="0" w:space="0" w:color="auto"/>
            <w:bottom w:val="none" w:sz="0" w:space="0" w:color="auto"/>
            <w:right w:val="none" w:sz="0" w:space="0" w:color="auto"/>
          </w:divBdr>
          <w:divsChild>
            <w:div w:id="431707723">
              <w:marLeft w:val="0"/>
              <w:marRight w:val="0"/>
              <w:marTop w:val="750"/>
              <w:marBottom w:val="750"/>
              <w:divBdr>
                <w:top w:val="none" w:sz="0" w:space="0" w:color="auto"/>
                <w:left w:val="none" w:sz="0" w:space="0" w:color="auto"/>
                <w:bottom w:val="none" w:sz="0" w:space="0" w:color="auto"/>
                <w:right w:val="none" w:sz="0" w:space="0" w:color="auto"/>
              </w:divBdr>
              <w:divsChild>
                <w:div w:id="390157679">
                  <w:marLeft w:val="0"/>
                  <w:marRight w:val="0"/>
                  <w:marTop w:val="0"/>
                  <w:marBottom w:val="0"/>
                  <w:divBdr>
                    <w:top w:val="none" w:sz="0" w:space="0" w:color="auto"/>
                    <w:left w:val="none" w:sz="0" w:space="0" w:color="auto"/>
                    <w:bottom w:val="none" w:sz="0" w:space="0" w:color="auto"/>
                    <w:right w:val="none" w:sz="0" w:space="0" w:color="auto"/>
                  </w:divBdr>
                  <w:divsChild>
                    <w:div w:id="790437327">
                      <w:marLeft w:val="0"/>
                      <w:marRight w:val="0"/>
                      <w:marTop w:val="0"/>
                      <w:marBottom w:val="0"/>
                      <w:divBdr>
                        <w:top w:val="none" w:sz="0" w:space="0" w:color="auto"/>
                        <w:left w:val="none" w:sz="0" w:space="0" w:color="auto"/>
                        <w:bottom w:val="none" w:sz="0" w:space="0" w:color="auto"/>
                        <w:right w:val="none" w:sz="0" w:space="0" w:color="auto"/>
                      </w:divBdr>
                      <w:divsChild>
                        <w:div w:id="2074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957582">
          <w:marLeft w:val="0"/>
          <w:marRight w:val="0"/>
          <w:marTop w:val="100"/>
          <w:marBottom w:val="100"/>
          <w:divBdr>
            <w:top w:val="dashed" w:sz="6" w:space="0" w:color="A8A8A8"/>
            <w:left w:val="none" w:sz="0" w:space="0" w:color="auto"/>
            <w:bottom w:val="none" w:sz="0" w:space="0" w:color="auto"/>
            <w:right w:val="none" w:sz="0" w:space="0" w:color="auto"/>
          </w:divBdr>
          <w:divsChild>
            <w:div w:id="1481388111">
              <w:marLeft w:val="0"/>
              <w:marRight w:val="0"/>
              <w:marTop w:val="750"/>
              <w:marBottom w:val="750"/>
              <w:divBdr>
                <w:top w:val="none" w:sz="0" w:space="0" w:color="auto"/>
                <w:left w:val="none" w:sz="0" w:space="0" w:color="auto"/>
                <w:bottom w:val="none" w:sz="0" w:space="0" w:color="auto"/>
                <w:right w:val="none" w:sz="0" w:space="0" w:color="auto"/>
              </w:divBdr>
              <w:divsChild>
                <w:div w:id="1563176241">
                  <w:marLeft w:val="0"/>
                  <w:marRight w:val="0"/>
                  <w:marTop w:val="0"/>
                  <w:marBottom w:val="0"/>
                  <w:divBdr>
                    <w:top w:val="none" w:sz="0" w:space="0" w:color="auto"/>
                    <w:left w:val="none" w:sz="0" w:space="0" w:color="auto"/>
                    <w:bottom w:val="none" w:sz="0" w:space="0" w:color="auto"/>
                    <w:right w:val="none" w:sz="0" w:space="0" w:color="auto"/>
                  </w:divBdr>
                  <w:divsChild>
                    <w:div w:id="961420913">
                      <w:marLeft w:val="0"/>
                      <w:marRight w:val="0"/>
                      <w:marTop w:val="0"/>
                      <w:marBottom w:val="0"/>
                      <w:divBdr>
                        <w:top w:val="none" w:sz="0" w:space="0" w:color="auto"/>
                        <w:left w:val="none" w:sz="0" w:space="0" w:color="auto"/>
                        <w:bottom w:val="none" w:sz="0" w:space="0" w:color="auto"/>
                        <w:right w:val="none" w:sz="0" w:space="0" w:color="auto"/>
                      </w:divBdr>
                      <w:divsChild>
                        <w:div w:id="20537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668619">
      <w:bodyDiv w:val="1"/>
      <w:marLeft w:val="0"/>
      <w:marRight w:val="0"/>
      <w:marTop w:val="0"/>
      <w:marBottom w:val="0"/>
      <w:divBdr>
        <w:top w:val="none" w:sz="0" w:space="0" w:color="auto"/>
        <w:left w:val="none" w:sz="0" w:space="0" w:color="auto"/>
        <w:bottom w:val="none" w:sz="0" w:space="0" w:color="auto"/>
        <w:right w:val="none" w:sz="0" w:space="0" w:color="auto"/>
      </w:divBdr>
      <w:divsChild>
        <w:div w:id="987054188">
          <w:marLeft w:val="0"/>
          <w:marRight w:val="0"/>
          <w:marTop w:val="100"/>
          <w:marBottom w:val="100"/>
          <w:divBdr>
            <w:top w:val="none" w:sz="0" w:space="0" w:color="auto"/>
            <w:left w:val="none" w:sz="0" w:space="0" w:color="auto"/>
            <w:bottom w:val="none" w:sz="0" w:space="0" w:color="auto"/>
            <w:right w:val="none" w:sz="0" w:space="0" w:color="auto"/>
          </w:divBdr>
          <w:divsChild>
            <w:div w:id="1646470315">
              <w:marLeft w:val="0"/>
              <w:marRight w:val="0"/>
              <w:marTop w:val="750"/>
              <w:marBottom w:val="750"/>
              <w:divBdr>
                <w:top w:val="none" w:sz="0" w:space="0" w:color="auto"/>
                <w:left w:val="none" w:sz="0" w:space="0" w:color="auto"/>
                <w:bottom w:val="none" w:sz="0" w:space="0" w:color="auto"/>
                <w:right w:val="none" w:sz="0" w:space="0" w:color="auto"/>
              </w:divBdr>
              <w:divsChild>
                <w:div w:id="1426851496">
                  <w:marLeft w:val="0"/>
                  <w:marRight w:val="0"/>
                  <w:marTop w:val="0"/>
                  <w:marBottom w:val="0"/>
                  <w:divBdr>
                    <w:top w:val="none" w:sz="0" w:space="0" w:color="auto"/>
                    <w:left w:val="none" w:sz="0" w:space="0" w:color="auto"/>
                    <w:bottom w:val="none" w:sz="0" w:space="0" w:color="auto"/>
                    <w:right w:val="none" w:sz="0" w:space="0" w:color="auto"/>
                  </w:divBdr>
                  <w:divsChild>
                    <w:div w:id="322390073">
                      <w:marLeft w:val="0"/>
                      <w:marRight w:val="0"/>
                      <w:marTop w:val="0"/>
                      <w:marBottom w:val="0"/>
                      <w:divBdr>
                        <w:top w:val="none" w:sz="0" w:space="0" w:color="auto"/>
                        <w:left w:val="none" w:sz="0" w:space="0" w:color="auto"/>
                        <w:bottom w:val="none" w:sz="0" w:space="0" w:color="auto"/>
                        <w:right w:val="none" w:sz="0" w:space="0" w:color="auto"/>
                      </w:divBdr>
                      <w:divsChild>
                        <w:div w:id="9458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28543">
          <w:marLeft w:val="0"/>
          <w:marRight w:val="0"/>
          <w:marTop w:val="100"/>
          <w:marBottom w:val="100"/>
          <w:divBdr>
            <w:top w:val="dashed" w:sz="6" w:space="0" w:color="A8A8A8"/>
            <w:left w:val="none" w:sz="0" w:space="0" w:color="auto"/>
            <w:bottom w:val="none" w:sz="0" w:space="0" w:color="auto"/>
            <w:right w:val="none" w:sz="0" w:space="0" w:color="auto"/>
          </w:divBdr>
          <w:divsChild>
            <w:div w:id="1465195428">
              <w:marLeft w:val="0"/>
              <w:marRight w:val="0"/>
              <w:marTop w:val="750"/>
              <w:marBottom w:val="750"/>
              <w:divBdr>
                <w:top w:val="none" w:sz="0" w:space="0" w:color="auto"/>
                <w:left w:val="none" w:sz="0" w:space="0" w:color="auto"/>
                <w:bottom w:val="none" w:sz="0" w:space="0" w:color="auto"/>
                <w:right w:val="none" w:sz="0" w:space="0" w:color="auto"/>
              </w:divBdr>
              <w:divsChild>
                <w:div w:id="2108382594">
                  <w:marLeft w:val="0"/>
                  <w:marRight w:val="0"/>
                  <w:marTop w:val="0"/>
                  <w:marBottom w:val="0"/>
                  <w:divBdr>
                    <w:top w:val="none" w:sz="0" w:space="0" w:color="auto"/>
                    <w:left w:val="none" w:sz="0" w:space="0" w:color="auto"/>
                    <w:bottom w:val="none" w:sz="0" w:space="0" w:color="auto"/>
                    <w:right w:val="none" w:sz="0" w:space="0" w:color="auto"/>
                  </w:divBdr>
                  <w:divsChild>
                    <w:div w:id="1470056973">
                      <w:marLeft w:val="0"/>
                      <w:marRight w:val="0"/>
                      <w:marTop w:val="0"/>
                      <w:marBottom w:val="0"/>
                      <w:divBdr>
                        <w:top w:val="none" w:sz="0" w:space="0" w:color="auto"/>
                        <w:left w:val="none" w:sz="0" w:space="0" w:color="auto"/>
                        <w:bottom w:val="none" w:sz="0" w:space="0" w:color="auto"/>
                        <w:right w:val="none" w:sz="0" w:space="0" w:color="auto"/>
                      </w:divBdr>
                      <w:divsChild>
                        <w:div w:id="1378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770085">
          <w:marLeft w:val="0"/>
          <w:marRight w:val="0"/>
          <w:marTop w:val="100"/>
          <w:marBottom w:val="100"/>
          <w:divBdr>
            <w:top w:val="dashed" w:sz="6" w:space="0" w:color="A8A8A8"/>
            <w:left w:val="none" w:sz="0" w:space="0" w:color="auto"/>
            <w:bottom w:val="none" w:sz="0" w:space="0" w:color="auto"/>
            <w:right w:val="none" w:sz="0" w:space="0" w:color="auto"/>
          </w:divBdr>
          <w:divsChild>
            <w:div w:id="1028606950">
              <w:marLeft w:val="0"/>
              <w:marRight w:val="0"/>
              <w:marTop w:val="750"/>
              <w:marBottom w:val="750"/>
              <w:divBdr>
                <w:top w:val="none" w:sz="0" w:space="0" w:color="auto"/>
                <w:left w:val="none" w:sz="0" w:space="0" w:color="auto"/>
                <w:bottom w:val="none" w:sz="0" w:space="0" w:color="auto"/>
                <w:right w:val="none" w:sz="0" w:space="0" w:color="auto"/>
              </w:divBdr>
              <w:divsChild>
                <w:div w:id="790322911">
                  <w:marLeft w:val="0"/>
                  <w:marRight w:val="0"/>
                  <w:marTop w:val="0"/>
                  <w:marBottom w:val="0"/>
                  <w:divBdr>
                    <w:top w:val="none" w:sz="0" w:space="0" w:color="auto"/>
                    <w:left w:val="none" w:sz="0" w:space="0" w:color="auto"/>
                    <w:bottom w:val="none" w:sz="0" w:space="0" w:color="auto"/>
                    <w:right w:val="none" w:sz="0" w:space="0" w:color="auto"/>
                  </w:divBdr>
                  <w:divsChild>
                    <w:div w:id="27217853">
                      <w:marLeft w:val="0"/>
                      <w:marRight w:val="0"/>
                      <w:marTop w:val="0"/>
                      <w:marBottom w:val="0"/>
                      <w:divBdr>
                        <w:top w:val="none" w:sz="0" w:space="0" w:color="auto"/>
                        <w:left w:val="none" w:sz="0" w:space="0" w:color="auto"/>
                        <w:bottom w:val="none" w:sz="0" w:space="0" w:color="auto"/>
                        <w:right w:val="none" w:sz="0" w:space="0" w:color="auto"/>
                      </w:divBdr>
                      <w:divsChild>
                        <w:div w:id="47881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804613">
          <w:marLeft w:val="0"/>
          <w:marRight w:val="0"/>
          <w:marTop w:val="100"/>
          <w:marBottom w:val="100"/>
          <w:divBdr>
            <w:top w:val="dashed" w:sz="6" w:space="0" w:color="A8A8A8"/>
            <w:left w:val="none" w:sz="0" w:space="0" w:color="auto"/>
            <w:bottom w:val="none" w:sz="0" w:space="0" w:color="auto"/>
            <w:right w:val="none" w:sz="0" w:space="0" w:color="auto"/>
          </w:divBdr>
          <w:divsChild>
            <w:div w:id="1049458846">
              <w:marLeft w:val="0"/>
              <w:marRight w:val="0"/>
              <w:marTop w:val="750"/>
              <w:marBottom w:val="750"/>
              <w:divBdr>
                <w:top w:val="none" w:sz="0" w:space="0" w:color="auto"/>
                <w:left w:val="none" w:sz="0" w:space="0" w:color="auto"/>
                <w:bottom w:val="none" w:sz="0" w:space="0" w:color="auto"/>
                <w:right w:val="none" w:sz="0" w:space="0" w:color="auto"/>
              </w:divBdr>
              <w:divsChild>
                <w:div w:id="516434181">
                  <w:marLeft w:val="0"/>
                  <w:marRight w:val="0"/>
                  <w:marTop w:val="0"/>
                  <w:marBottom w:val="0"/>
                  <w:divBdr>
                    <w:top w:val="none" w:sz="0" w:space="0" w:color="auto"/>
                    <w:left w:val="none" w:sz="0" w:space="0" w:color="auto"/>
                    <w:bottom w:val="none" w:sz="0" w:space="0" w:color="auto"/>
                    <w:right w:val="none" w:sz="0" w:space="0" w:color="auto"/>
                  </w:divBdr>
                  <w:divsChild>
                    <w:div w:id="170341040">
                      <w:marLeft w:val="0"/>
                      <w:marRight w:val="0"/>
                      <w:marTop w:val="0"/>
                      <w:marBottom w:val="0"/>
                      <w:divBdr>
                        <w:top w:val="none" w:sz="0" w:space="0" w:color="auto"/>
                        <w:left w:val="none" w:sz="0" w:space="0" w:color="auto"/>
                        <w:bottom w:val="none" w:sz="0" w:space="0" w:color="auto"/>
                        <w:right w:val="none" w:sz="0" w:space="0" w:color="auto"/>
                      </w:divBdr>
                      <w:divsChild>
                        <w:div w:id="162780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119575">
          <w:marLeft w:val="0"/>
          <w:marRight w:val="0"/>
          <w:marTop w:val="100"/>
          <w:marBottom w:val="100"/>
          <w:divBdr>
            <w:top w:val="dashed" w:sz="6" w:space="0" w:color="A8A8A8"/>
            <w:left w:val="none" w:sz="0" w:space="0" w:color="auto"/>
            <w:bottom w:val="none" w:sz="0" w:space="0" w:color="auto"/>
            <w:right w:val="none" w:sz="0" w:space="0" w:color="auto"/>
          </w:divBdr>
          <w:divsChild>
            <w:div w:id="1862739601">
              <w:marLeft w:val="0"/>
              <w:marRight w:val="0"/>
              <w:marTop w:val="750"/>
              <w:marBottom w:val="750"/>
              <w:divBdr>
                <w:top w:val="none" w:sz="0" w:space="0" w:color="auto"/>
                <w:left w:val="none" w:sz="0" w:space="0" w:color="auto"/>
                <w:bottom w:val="none" w:sz="0" w:space="0" w:color="auto"/>
                <w:right w:val="none" w:sz="0" w:space="0" w:color="auto"/>
              </w:divBdr>
              <w:divsChild>
                <w:div w:id="1430812486">
                  <w:marLeft w:val="0"/>
                  <w:marRight w:val="0"/>
                  <w:marTop w:val="0"/>
                  <w:marBottom w:val="0"/>
                  <w:divBdr>
                    <w:top w:val="none" w:sz="0" w:space="0" w:color="auto"/>
                    <w:left w:val="none" w:sz="0" w:space="0" w:color="auto"/>
                    <w:bottom w:val="none" w:sz="0" w:space="0" w:color="auto"/>
                    <w:right w:val="none" w:sz="0" w:space="0" w:color="auto"/>
                  </w:divBdr>
                  <w:divsChild>
                    <w:div w:id="1785687330">
                      <w:marLeft w:val="0"/>
                      <w:marRight w:val="0"/>
                      <w:marTop w:val="0"/>
                      <w:marBottom w:val="0"/>
                      <w:divBdr>
                        <w:top w:val="none" w:sz="0" w:space="0" w:color="auto"/>
                        <w:left w:val="none" w:sz="0" w:space="0" w:color="auto"/>
                        <w:bottom w:val="none" w:sz="0" w:space="0" w:color="auto"/>
                        <w:right w:val="none" w:sz="0" w:space="0" w:color="auto"/>
                      </w:divBdr>
                      <w:divsChild>
                        <w:div w:id="99202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nemorevoice.org/html/bipoc-voices/digital-editions-soas/liv_025032_HTML.html" TargetMode="External"/><Relationship Id="rId5" Type="http://schemas.openxmlformats.org/officeDocument/2006/relationships/hyperlink" Target="https://onemorevoice.org/html/transcriptions/liv_020003_TEI.html" TargetMode="External"/><Relationship Id="rId4" Type="http://schemas.openxmlformats.org/officeDocument/2006/relationships/hyperlink" Target="https://onemorevoice.org/html/transcriptions/liv_020061_TE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2007</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 Maitra</dc:creator>
  <cp:keywords/>
  <dc:description/>
  <cp:lastModifiedBy>Arka Maitra</cp:lastModifiedBy>
  <cp:revision>2</cp:revision>
  <dcterms:created xsi:type="dcterms:W3CDTF">2023-03-30T16:28:00Z</dcterms:created>
  <dcterms:modified xsi:type="dcterms:W3CDTF">2023-03-31T18:15:00Z</dcterms:modified>
</cp:coreProperties>
</file>