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PRAMAN AI — Technical Architecture &amp; Stack Specification</w:t>
      </w:r>
    </w:p>
    <w:p>
      <w:pPr>
        <w:jc w:val="center"/>
      </w:pPr>
      <w:r>
        <w:rPr>
          <w:b/>
          <w:sz w:val="26"/>
        </w:rPr>
        <w:t>SIH 2026 • Final implementation recommendation aligned to submitted concept</w:t>
      </w:r>
    </w:p>
    <w:p/>
    <w:p>
      <w:r>
        <w:t>This stack deliberately keeps the headline technologies aligned with the SIH concept: React, FastAPI, Python, OCR, OpenCV and PostgreSQL, with cloud deployment. Supporting libraries may be used without changing that core architecture.</w:t>
      </w:r>
    </w:p>
    <w:p>
      <w:pPr>
        <w:pStyle w:val="Heading1"/>
      </w:pPr>
      <w:r>
        <w:t>1. Architecture</w:t>
      </w:r>
    </w:p>
    <w:p>
      <w:r>
        <w:t>Browser → React frontend → FastAPI backend → Python AI/CV services + deterministic rule engine → PostgreSQL + object storage → report generation → dashboard/history.</w:t>
      </w:r>
    </w:p>
    <w:p>
      <w:pPr>
        <w:pStyle w:val="Heading1"/>
      </w:pPr>
      <w:r>
        <w:t>2. Final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DE8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  <w:shd w:fill="DDE8F7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  <w:shd w:fill="DDE8F7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Web application UI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Visual implementation</w:t>
            </w:r>
          </w:p>
        </w:tc>
      </w:tr>
      <w:tr>
        <w:tc>
          <w:tcPr>
            <w:tcW w:type="dxa" w:w="2880"/>
          </w:tcPr>
          <w:p>
            <w:r>
              <w:t>UI components</w:t>
            </w:r>
          </w:p>
        </w:tc>
        <w:tc>
          <w:tcPr>
            <w:tcW w:type="dxa" w:w="2880"/>
          </w:tcPr>
          <w:p>
            <w:r>
              <w:t>shadcn/ui</w:t>
            </w:r>
          </w:p>
        </w:tc>
        <w:tc>
          <w:tcPr>
            <w:tcW w:type="dxa" w:w="2880"/>
          </w:tcPr>
          <w:p>
            <w:r>
              <w:t>Reusable components</w:t>
            </w:r>
          </w:p>
        </w:tc>
      </w:tr>
      <w:tr>
        <w:tc>
          <w:tcPr>
            <w:tcW w:type="dxa" w:w="2880"/>
          </w:tcPr>
          <w:p>
            <w:r>
              <w:t>Charts</w:t>
            </w:r>
          </w:p>
        </w:tc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Compliance/inspection analytics</w:t>
            </w:r>
          </w:p>
        </w:tc>
      </w:tr>
      <w:tr>
        <w:tc>
          <w:tcPr>
            <w:tcW w:type="dxa" w:w="2880"/>
          </w:tcPr>
          <w:p>
            <w:r>
              <w:t>Evidence UI</w:t>
            </w:r>
          </w:p>
        </w:tc>
        <w:tc>
          <w:tcPr>
            <w:tcW w:type="dxa" w:w="2880"/>
          </w:tcPr>
          <w:p>
            <w:r>
              <w:t>React-Konva</w:t>
            </w:r>
          </w:p>
        </w:tc>
        <w:tc>
          <w:tcPr>
            <w:tcW w:type="dxa" w:w="2880"/>
          </w:tcPr>
          <w:p>
            <w:r>
              <w:t>Image annotations/bounding boxes</w:t>
            </w:r>
          </w:p>
        </w:tc>
      </w:tr>
      <w:tr>
        <w:tc>
          <w:tcPr>
            <w:tcW w:type="dxa" w:w="2880"/>
          </w:tcPr>
          <w:p>
            <w:r>
              <w:t>API data</w:t>
            </w:r>
          </w:p>
        </w:tc>
        <w:tc>
          <w:tcPr>
            <w:tcW w:type="dxa" w:w="2880"/>
          </w:tcPr>
          <w:p>
            <w:r>
              <w:t>TanStack Query</w:t>
            </w:r>
          </w:p>
        </w:tc>
        <w:tc>
          <w:tcPr>
            <w:tcW w:type="dxa" w:w="2880"/>
          </w:tcPr>
          <w:p>
            <w:r>
              <w:t>Caching/loading/error states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REST APIs and orchestration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AI/CV/rules/backend</w:t>
            </w:r>
          </w:p>
        </w:tc>
      </w:tr>
      <w:tr>
        <w:tc>
          <w:tcPr>
            <w:tcW w:type="dxa" w:w="2880"/>
          </w:tcPr>
          <w:p>
            <w:r>
              <w:t>OCR</w:t>
            </w:r>
          </w:p>
        </w:tc>
        <w:tc>
          <w:tcPr>
            <w:tcW w:type="dxa" w:w="2880"/>
          </w:tcPr>
          <w:p>
            <w:r>
              <w:t>PaddleOCR</w:t>
            </w:r>
          </w:p>
        </w:tc>
        <w:tc>
          <w:tcPr>
            <w:tcW w:type="dxa" w:w="2880"/>
          </w:tcPr>
          <w:p>
            <w:r>
              <w:t>Text detection/recognition</w:t>
            </w:r>
          </w:p>
        </w:tc>
      </w:tr>
      <w:tr>
        <w:tc>
          <w:tcPr>
            <w:tcW w:type="dxa" w:w="2880"/>
          </w:tcPr>
          <w:p>
            <w:r>
              <w:t>Text detection</w:t>
            </w:r>
          </w:p>
        </w:tc>
        <w:tc>
          <w:tcPr>
            <w:tcW w:type="dxa" w:w="2880"/>
          </w:tcPr>
          <w:p>
            <w:r>
              <w:t>DBNet++</w:t>
            </w:r>
          </w:p>
        </w:tc>
        <w:tc>
          <w:tcPr>
            <w:tcW w:type="dxa" w:w="2880"/>
          </w:tcPr>
          <w:p>
            <w:r>
              <w:t>Text-region detection where applicable</w:t>
            </w:r>
          </w:p>
        </w:tc>
      </w:tr>
      <w:tr>
        <w:tc>
          <w:tcPr>
            <w:tcW w:type="dxa" w:w="2880"/>
          </w:tcPr>
          <w:p>
            <w:r>
              <w:t>Computer Vision</w:t>
            </w:r>
          </w:p>
        </w:tc>
        <w:tc>
          <w:tcPr>
            <w:tcW w:type="dxa" w:w="2880"/>
          </w:tcPr>
          <w:p>
            <w:r>
              <w:t>OpenCV</w:t>
            </w:r>
          </w:p>
        </w:tc>
        <w:tc>
          <w:tcPr>
            <w:tcW w:type="dxa" w:w="2880"/>
          </w:tcPr>
          <w:p>
            <w:r>
              <w:t>Image preprocessing and visual checks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Python deterministic Rule Engine</w:t>
            </w:r>
          </w:p>
        </w:tc>
        <w:tc>
          <w:tcPr>
            <w:tcW w:type="dxa" w:w="2880"/>
          </w:tcPr>
          <w:p>
            <w:r>
              <w:t>Configured validation decisions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Relational inspection records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SQLAlchemy 2</w:t>
            </w:r>
          </w:p>
        </w:tc>
        <w:tc>
          <w:tcPr>
            <w:tcW w:type="dxa" w:w="2880"/>
          </w:tcPr>
          <w:p>
            <w:r>
              <w:t>Database access</w:t>
            </w:r>
          </w:p>
        </w:tc>
      </w:tr>
      <w:tr>
        <w:tc>
          <w:tcPr>
            <w:tcW w:type="dxa" w:w="2880"/>
          </w:tcPr>
          <w:p>
            <w:r>
              <w:t>Migrations</w:t>
            </w:r>
          </w:p>
        </w:tc>
        <w:tc>
          <w:tcPr>
            <w:tcW w:type="dxa" w:w="2880"/>
          </w:tcPr>
          <w:p>
            <w:r>
              <w:t>Alembic</w:t>
            </w:r>
          </w:p>
        </w:tc>
        <w:tc>
          <w:tcPr>
            <w:tcW w:type="dxa" w:w="2880"/>
          </w:tcPr>
          <w:p>
            <w:r>
              <w:t>Schema migrations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API schemas</w:t>
            </w:r>
          </w:p>
        </w:tc>
      </w:tr>
      <w:tr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t>ReportLab</w:t>
            </w:r>
          </w:p>
        </w:tc>
        <w:tc>
          <w:tcPr>
            <w:tcW w:type="dxa" w:w="2880"/>
          </w:tcPr>
          <w:p>
            <w:r>
              <w:t>PDF generation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S3-compatible object storage</w:t>
            </w:r>
          </w:p>
        </w:tc>
        <w:tc>
          <w:tcPr>
            <w:tcW w:type="dxa" w:w="2880"/>
          </w:tcPr>
          <w:p>
            <w:r>
              <w:t>Images/evidence/reports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JWT + RBAC</w:t>
            </w:r>
          </w:p>
        </w:tc>
        <w:tc>
          <w:tcPr>
            <w:tcW w:type="dxa" w:w="2880"/>
          </w:tcPr>
          <w:p>
            <w:r>
              <w:t>Access control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Pytest + Playwright</w:t>
            </w:r>
          </w:p>
        </w:tc>
        <w:tc>
          <w:tcPr>
            <w:tcW w:type="dxa" w:w="2880"/>
          </w:tcPr>
          <w:p>
            <w:r>
              <w:t>Backend and E2E testing</w:t>
            </w:r>
          </w:p>
        </w:tc>
      </w:tr>
      <w:tr>
        <w:tc>
          <w:tcPr>
            <w:tcW w:type="dxa" w:w="2880"/>
          </w:tcPr>
          <w:p>
            <w:r>
              <w:t>Packaging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Reproducible environment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Managed cloud containers</w:t>
            </w:r>
          </w:p>
        </w:tc>
        <w:tc>
          <w:tcPr>
            <w:tcW w:type="dxa" w:w="2880"/>
          </w:tcPr>
          <w:p>
            <w:r>
              <w:t>Prototype deployment</w:t>
            </w:r>
          </w:p>
        </w:tc>
      </w:tr>
    </w:tbl>
    <w:p/>
    <w:p>
      <w:pPr>
        <w:pStyle w:val="Heading1"/>
      </w:pPr>
      <w:r>
        <w:t>3. Core Pipeline</w:t>
      </w:r>
    </w:p>
    <w:p>
      <w:r>
        <w:t>Image → OpenCV quality/preprocessing → PaddleOCR/DBNet++ → structured declarations → deterministic rule engine → Computer Vision checks → findings + evidence → human review → report → PostgreSQL/history.</w:t>
      </w:r>
    </w:p>
    <w:p>
      <w:pPr>
        <w:pStyle w:val="Heading1"/>
      </w:pPr>
      <w:r>
        <w:t>4. Rule Engine Principle</w:t>
      </w:r>
    </w:p>
    <w:p>
      <w:r>
        <w:t>The LLM must not be the compliance authority. Rules should be explicit, versioned and auditable. Example outputs: PASS, WARNING, POTENTIAL_VIOLATION, MANUAL_REVIEW.</w:t>
      </w:r>
    </w:p>
    <w:p>
      <w:pPr>
        <w:pStyle w:val="Heading1"/>
      </w:pPr>
      <w:r>
        <w:t>5. AI/LLM Usage</w:t>
      </w:r>
    </w:p>
    <w:p>
      <w:pPr>
        <w:pStyle w:val="ListBullet"/>
      </w:pPr>
      <w:r>
        <w:t>Good: OCR normalization, structured field cleanup, human-readable explanation grounded in stored evidence.</w:t>
      </w:r>
    </w:p>
    <w:p>
      <w:pPr>
        <w:pStyle w:val="ListBullet"/>
      </w:pPr>
      <w:r>
        <w:t>Bad: asking an LLM to decide legal compliance directly from an image.</w:t>
      </w:r>
    </w:p>
    <w:p>
      <w:pPr>
        <w:pStyle w:val="ListBullet"/>
      </w:pPr>
      <w:r>
        <w:t>If an LLM is used, isolate it behind a provider interface so the core system remains deterministic.</w:t>
      </w:r>
    </w:p>
    <w:p>
      <w:pPr>
        <w:pStyle w:val="Heading1"/>
      </w:pPr>
      <w:r>
        <w:t>6. Database Entities</w:t>
      </w:r>
    </w:p>
    <w:p>
      <w:r>
        <w:t>users, roles, inspections, products, inspection_images, ocr_results, declarations, rules, rule_versions, compliance_checks, findings, evidence, review_decisions, reports, audit_events.</w:t>
      </w:r>
    </w:p>
    <w:p>
      <w:pPr>
        <w:pStyle w:val="Heading1"/>
      </w:pPr>
      <w:r>
        <w:t>7. API Groups</w:t>
      </w:r>
    </w:p>
    <w:p>
      <w:pPr>
        <w:pStyle w:val="ListBullet"/>
      </w:pPr>
      <w:r>
        <w:t>POST /auth/...</w:t>
      </w:r>
    </w:p>
    <w:p>
      <w:pPr>
        <w:pStyle w:val="ListBullet"/>
      </w:pPr>
      <w:r>
        <w:t>POST /inspections</w:t>
      </w:r>
    </w:p>
    <w:p>
      <w:pPr>
        <w:pStyle w:val="ListBullet"/>
      </w:pPr>
      <w:r>
        <w:t>GET /inspections</w:t>
      </w:r>
    </w:p>
    <w:p>
      <w:pPr>
        <w:pStyle w:val="ListBullet"/>
      </w:pPr>
      <w:r>
        <w:t>GET /inspections/{id}</w:t>
      </w:r>
    </w:p>
    <w:p>
      <w:pPr>
        <w:pStyle w:val="ListBullet"/>
      </w:pPr>
      <w:r>
        <w:t>POST /inspections/{id}/images</w:t>
      </w:r>
    </w:p>
    <w:p>
      <w:pPr>
        <w:pStyle w:val="ListBullet"/>
      </w:pPr>
      <w:r>
        <w:t>POST /inspections/{id}/analyze</w:t>
      </w:r>
    </w:p>
    <w:p>
      <w:pPr>
        <w:pStyle w:val="ListBullet"/>
      </w:pPr>
      <w:r>
        <w:t>GET /inspections/{id}/findings</w:t>
      </w:r>
    </w:p>
    <w:p>
      <w:pPr>
        <w:pStyle w:val="ListBullet"/>
      </w:pPr>
      <w:r>
        <w:t>POST /findings/{id}/decision</w:t>
      </w:r>
    </w:p>
    <w:p>
      <w:pPr>
        <w:pStyle w:val="ListBullet"/>
      </w:pPr>
      <w:r>
        <w:t>GET /rules</w:t>
      </w:r>
    </w:p>
    <w:p>
      <w:pPr>
        <w:pStyle w:val="ListBullet"/>
      </w:pPr>
      <w:r>
        <w:t>POST /rules</w:t>
      </w:r>
    </w:p>
    <w:p>
      <w:pPr>
        <w:pStyle w:val="ListBullet"/>
      </w:pPr>
      <w:r>
        <w:t>GET /reports/{id}</w:t>
      </w:r>
    </w:p>
    <w:p>
      <w:pPr>
        <w:pStyle w:val="ListBullet"/>
      </w:pPr>
      <w:r>
        <w:t>GET /analytics/...</w:t>
      </w:r>
    </w:p>
    <w:p>
      <w:pPr>
        <w:pStyle w:val="Heading1"/>
      </w:pPr>
      <w:r>
        <w:t>8. Project Structure</w:t>
      </w:r>
    </w:p>
    <w:p>
      <w:r>
        <w:t>frontend/ (React, components, pages, API client, charts, evidence viewer) and backend/ (FastAPI routes, models, schemas, services, ocr, vision, rules, compliance, reports, auth, database, tests). Keep domain logic out of route handlers.</w:t>
      </w:r>
    </w:p>
    <w:p>
      <w:pPr>
        <w:pStyle w:val="Heading1"/>
      </w:pPr>
      <w:r>
        <w:t>9. Deployment</w:t>
      </w:r>
    </w:p>
    <w:p>
      <w:pPr>
        <w:pStyle w:val="ListBullet"/>
      </w:pPr>
      <w:r>
        <w:t>Dockerize frontend/backend.</w:t>
      </w:r>
    </w:p>
    <w:p>
      <w:pPr>
        <w:pStyle w:val="ListBullet"/>
      </w:pPr>
      <w:r>
        <w:t>Use managed PostgreSQL.</w:t>
      </w:r>
    </w:p>
    <w:p>
      <w:pPr>
        <w:pStyle w:val="ListBullet"/>
      </w:pPr>
      <w:r>
        <w:t>Use object storage for images/reports.</w:t>
      </w:r>
    </w:p>
    <w:p>
      <w:pPr>
        <w:pStyle w:val="ListBullet"/>
      </w:pPr>
      <w:r>
        <w:t>Use HTTPS.</w:t>
      </w:r>
    </w:p>
    <w:p>
      <w:pPr>
        <w:pStyle w:val="ListBullet"/>
      </w:pPr>
      <w:r>
        <w:t>Start with a simple deployment; add asynchronous workers only if analysis time requires them.</w:t>
      </w:r>
    </w:p>
    <w:p>
      <w:pPr>
        <w:pStyle w:val="Heading1"/>
      </w:pPr>
      <w:r>
        <w:t>10. Optional Later, Not MVP</w:t>
      </w:r>
    </w:p>
    <w:p>
      <w:pPr>
        <w:pStyle w:val="ListBullet"/>
      </w:pPr>
      <w:r>
        <w:t>Redis + Celery for long-running jobs.</w:t>
      </w:r>
    </w:p>
    <w:p>
      <w:pPr>
        <w:pStyle w:val="ListBullet"/>
      </w:pPr>
      <w:r>
        <w:t>Advanced model serving.</w:t>
      </w:r>
    </w:p>
    <w:p>
      <w:pPr>
        <w:pStyle w:val="ListBullet"/>
      </w:pPr>
      <w:r>
        <w:t>Dedicated vector database only if a real retrieval use case emerges.</w:t>
      </w:r>
    </w:p>
    <w:p>
      <w:pPr>
        <w:pStyle w:val="ListBullet"/>
      </w:pPr>
      <w:r>
        <w:t>More sophisticated observability/MLOps as scale requires.</w:t>
      </w:r>
    </w:p>
    <w:p>
      <w:pPr>
        <w:pStyle w:val="Heading1"/>
      </w:pPr>
      <w:r>
        <w:t>11. Explicitly Avoid for SIH MVP</w:t>
      </w:r>
    </w:p>
    <w:p>
      <w:pPr>
        <w:pStyle w:val="ListBullet"/>
      </w:pPr>
      <w:r>
        <w:t>Node.js backend</w:t>
      </w:r>
    </w:p>
    <w:p>
      <w:pPr>
        <w:pStyle w:val="ListBullet"/>
      </w:pPr>
      <w:r>
        <w:t>MongoDB as primary database</w:t>
      </w:r>
    </w:p>
    <w:p>
      <w:pPr>
        <w:pStyle w:val="ListBullet"/>
      </w:pPr>
      <w:r>
        <w:t>Kubernetes</w:t>
      </w:r>
    </w:p>
    <w:p>
      <w:pPr>
        <w:pStyle w:val="ListBullet"/>
      </w:pPr>
      <w:r>
        <w:t>Kafka</w:t>
      </w:r>
    </w:p>
    <w:p>
      <w:pPr>
        <w:pStyle w:val="ListBullet"/>
      </w:pPr>
      <w:r>
        <w:t>Elasticsearch</w:t>
      </w:r>
    </w:p>
    <w:p>
      <w:pPr>
        <w:pStyle w:val="ListBullet"/>
      </w:pPr>
      <w:r>
        <w:t>Unnecessary microservices</w:t>
      </w:r>
    </w:p>
    <w:p>
      <w:pPr>
        <w:pStyle w:val="ListBullet"/>
      </w:pPr>
      <w:r>
        <w:t>LangChain everywhere</w:t>
      </w:r>
    </w:p>
    <w:p>
      <w:pPr>
        <w:pStyle w:val="ListBullet"/>
      </w:pPr>
      <w:r>
        <w:t>Multiple LLM providers</w:t>
      </w:r>
    </w:p>
    <w:p>
      <w:pPr>
        <w:pStyle w:val="ListBullet"/>
      </w:pPr>
      <w:r>
        <w:t>Complex MLOps platform</w:t>
      </w:r>
    </w:p>
    <w:p>
      <w:r>
        <w:t>These technologies can be valid in other products, but they do not make PRAMAN automatically better. Adding them without a concrete requirement increases complexity and creates unnecessary examiner questions.</w:t>
      </w:r>
    </w:p>
    <w:p>
      <w:pPr>
        <w:pStyle w:val="Heading1"/>
      </w:pPr>
      <w:r>
        <w:t>12. Examiner-Friendly Architecture Answer</w:t>
      </w:r>
    </w:p>
    <w:p>
      <w:r>
        <w:t>“We kept the prototype aligned with our submitted architecture: React for the inspection interface, FastAPI and Python for APIs and AI/CV integration, PaddleOCR/DBNet++ for text extraction, OpenCV for image analysis, a deterministic rule engine for compliance checks, PostgreSQL for structured inspection records, and cloud infrastructure for deployment. Supporting frontend libraries improve the UI without changing the core architecture.”</w:t>
      </w:r>
    </w:p>
    <w:p>
      <w:pPr>
        <w:pStyle w:val="Heading1"/>
      </w:pPr>
      <w:r>
        <w:t>13. Engineering Priority</w:t>
      </w:r>
    </w:p>
    <w:p>
      <w:r>
        <w:t>Build the vertical slice first: upload → OCR → structured fields → rules → evidence → review → report. Only after that works reliably should advanced analytics, asynchronous processing or additional AI capabilities be added.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