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 AI — UI/UX Design Document</w:t>
      </w:r>
    </w:p>
    <w:p>
      <w:pPr>
        <w:jc w:val="center"/>
      </w:pPr>
      <w:r>
        <w:rPr>
          <w:b/>
          <w:sz w:val="26"/>
        </w:rPr>
        <w:t>SIH 2026 • NeuroBank-inspired visual direction, adapted for inspection</w:t>
      </w:r>
    </w:p>
    <w:p/>
    <w:p>
      <w:r>
        <w:t>Reference: NeuroBank – Online Banking Dashboard Design by Phenomenon Product for Phenomenon Studio on Dribbble. The reference is used for visual inspiration: clean dashboard hierarchy, cards, charts, filtering, document/activity patterns and dark navy/blue direction. PRAMAN does not copy banking terminology or proprietary assets.</w:t>
      </w:r>
    </w:p>
    <w:p>
      <w:pPr>
        <w:pStyle w:val="Heading1"/>
      </w:pPr>
      <w:r>
        <w:t>1. Design Personality</w:t>
      </w:r>
    </w:p>
    <w:p>
      <w:pPr>
        <w:pStyle w:val="ListBullet"/>
      </w:pPr>
      <w:r>
        <w:t>Trustworthy</w:t>
      </w:r>
    </w:p>
    <w:p>
      <w:pPr>
        <w:pStyle w:val="ListBullet"/>
      </w:pPr>
      <w:r>
        <w:t>Modern government technology</w:t>
      </w:r>
    </w:p>
    <w:p>
      <w:pPr>
        <w:pStyle w:val="ListBullet"/>
      </w:pPr>
      <w:r>
        <w:t>Evidence-first</w:t>
      </w:r>
    </w:p>
    <w:p>
      <w:pPr>
        <w:pStyle w:val="ListBullet"/>
      </w:pPr>
      <w:r>
        <w:t>Calm and data-rich</w:t>
      </w:r>
    </w:p>
    <w:p>
      <w:pPr>
        <w:pStyle w:val="ListBullet"/>
      </w:pPr>
      <w:r>
        <w:t>Field-friendly</w:t>
      </w:r>
    </w:p>
    <w:p>
      <w:pPr>
        <w:pStyle w:val="ListBullet"/>
      </w:pPr>
      <w:r>
        <w:t>Senior-friendly</w:t>
      </w:r>
    </w:p>
    <w:p>
      <w:pPr>
        <w:pStyle w:val="ListBullet"/>
      </w:pPr>
      <w:r>
        <w:t>AI-assisted, not AI-magical</w:t>
      </w:r>
    </w:p>
    <w:p>
      <w:pPr>
        <w:pStyle w:val="Heading1"/>
      </w:pPr>
      <w:r>
        <w:t>2.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8F7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  <w:shd w:fill="DDE8F7"/>
          </w:tcPr>
          <w:p>
            <w:r>
              <w:rPr>
                <w:b/>
              </w:rPr>
              <w:t>Suggested direction</w:t>
            </w:r>
          </w:p>
        </w:tc>
        <w:tc>
          <w:tcPr>
            <w:tcW w:type="dxa" w:w="2880"/>
            <w:shd w:fill="DDE8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App background</w:t>
            </w:r>
          </w:p>
        </w:tc>
        <w:tc>
          <w:tcPr>
            <w:tcW w:type="dxa" w:w="2880"/>
          </w:tcPr>
          <w:p>
            <w:r>
              <w:t>#F6F8FC</w:t>
            </w:r>
          </w:p>
        </w:tc>
        <w:tc>
          <w:tcPr>
            <w:tcW w:type="dxa" w:w="2880"/>
          </w:tcPr>
          <w:p>
            <w:r>
              <w:t>Main background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Cards/panels</w:t>
            </w:r>
          </w:p>
        </w:tc>
      </w:tr>
      <w:tr>
        <w:tc>
          <w:tcPr>
            <w:tcW w:type="dxa" w:w="2880"/>
          </w:tcPr>
          <w:p>
            <w:r>
              <w:t>Primary dark</w:t>
            </w:r>
          </w:p>
        </w:tc>
        <w:tc>
          <w:tcPr>
            <w:tcW w:type="dxa" w:w="2880"/>
          </w:tcPr>
          <w:p>
            <w:r>
              <w:t>#0B1230</w:t>
            </w:r>
          </w:p>
        </w:tc>
        <w:tc>
          <w:tcPr>
            <w:tcW w:type="dxa" w:w="2880"/>
          </w:tcPr>
          <w:p>
            <w:r>
              <w:t>Sidebar/header</w:t>
            </w:r>
          </w:p>
        </w:tc>
      </w:tr>
      <w:tr>
        <w:tc>
          <w:tcPr>
            <w:tcW w:type="dxa" w:w="2880"/>
          </w:tcPr>
          <w:p>
            <w:r>
              <w:t>Primary navy</w:t>
            </w:r>
          </w:p>
        </w:tc>
        <w:tc>
          <w:tcPr>
            <w:tcW w:type="dxa" w:w="2880"/>
          </w:tcPr>
          <w:p>
            <w:r>
              <w:t>#14215C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</w:tr>
      <w:tr>
        <w:tc>
          <w:tcPr>
            <w:tcW w:type="dxa" w:w="2880"/>
          </w:tcPr>
          <w:p>
            <w:r>
              <w:t>Primary blue</w:t>
            </w:r>
          </w:p>
        </w:tc>
        <w:tc>
          <w:tcPr>
            <w:tcW w:type="dxa" w:w="2880"/>
          </w:tcPr>
          <w:p>
            <w:r>
              <w:t>#263FE0</w:t>
            </w:r>
          </w:p>
        </w:tc>
        <w:tc>
          <w:tcPr>
            <w:tcW w:type="dxa" w:w="2880"/>
          </w:tcPr>
          <w:p>
            <w:r>
              <w:t>Primary actions</w:t>
            </w:r>
          </w:p>
        </w:tc>
      </w:tr>
      <w:tr>
        <w:tc>
          <w:tcPr>
            <w:tcW w:type="dxa" w:w="2880"/>
          </w:tcPr>
          <w:p>
            <w:r>
              <w:t>Text primary</w:t>
            </w:r>
          </w:p>
        </w:tc>
        <w:tc>
          <w:tcPr>
            <w:tcW w:type="dxa" w:w="2880"/>
          </w:tcPr>
          <w:p>
            <w:r>
              <w:t>#1D2330</w:t>
            </w:r>
          </w:p>
        </w:tc>
        <w:tc>
          <w:tcPr>
            <w:tcW w:type="dxa" w:w="2880"/>
          </w:tcPr>
          <w:p>
            <w:r>
              <w:t>Main text</w:t>
            </w:r>
          </w:p>
        </w:tc>
      </w:tr>
      <w:tr>
        <w:tc>
          <w:tcPr>
            <w:tcW w:type="dxa" w:w="2880"/>
          </w:tcPr>
          <w:p>
            <w:r>
              <w:t>Text secondary</w:t>
            </w:r>
          </w:p>
        </w:tc>
        <w:tc>
          <w:tcPr>
            <w:tcW w:type="dxa" w:w="2880"/>
          </w:tcPr>
          <w:p>
            <w:r>
              <w:t>#667085</w:t>
            </w:r>
          </w:p>
        </w:tc>
        <w:tc>
          <w:tcPr>
            <w:tcW w:type="dxa" w:w="2880"/>
          </w:tcPr>
          <w:p>
            <w:r>
              <w:t>Metadata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#E4E7EC</w:t>
            </w:r>
          </w:p>
        </w:tc>
        <w:tc>
          <w:tcPr>
            <w:tcW w:type="dxa" w:w="2880"/>
          </w:tcPr>
          <w:p>
            <w:r>
              <w:t>Dividers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#15803D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#B7791F</w:t>
            </w:r>
          </w:p>
        </w:tc>
        <w:tc>
          <w:tcPr>
            <w:tcW w:type="dxa" w:w="2880"/>
          </w:tcPr>
          <w:p>
            <w:r>
              <w:t>Review/warning</w:t>
            </w:r>
          </w:p>
        </w:tc>
      </w:tr>
      <w:tr>
        <w:tc>
          <w:tcPr>
            <w:tcW w:type="dxa" w:w="2880"/>
          </w:tcPr>
          <w:p>
            <w:r>
              <w:t>Violation</w:t>
            </w:r>
          </w:p>
        </w:tc>
        <w:tc>
          <w:tcPr>
            <w:tcW w:type="dxa" w:w="2880"/>
          </w:tcPr>
          <w:p>
            <w:r>
              <w:t>#C62828</w:t>
            </w:r>
          </w:p>
        </w:tc>
        <w:tc>
          <w:tcPr>
            <w:tcW w:type="dxa" w:w="2880"/>
          </w:tcPr>
          <w:p>
            <w:r>
              <w:t>Potential violation</w:t>
            </w:r>
          </w:p>
        </w:tc>
      </w:tr>
      <w:tr>
        <w:tc>
          <w:tcPr>
            <w:tcW w:type="dxa" w:w="2880"/>
          </w:tcPr>
          <w:p>
            <w:r>
              <w:t>Info/AI</w:t>
            </w:r>
          </w:p>
        </w:tc>
        <w:tc>
          <w:tcPr>
            <w:tcW w:type="dxa" w:w="2880"/>
          </w:tcPr>
          <w:p>
            <w:r>
              <w:t>#2563EB</w:t>
            </w:r>
          </w:p>
        </w:tc>
        <w:tc>
          <w:tcPr>
            <w:tcW w:type="dxa" w:w="2880"/>
          </w:tcPr>
          <w:p>
            <w:r>
              <w:t>AI state</w:t>
            </w:r>
          </w:p>
        </w:tc>
      </w:tr>
    </w:tbl>
    <w:p/>
    <w:p>
      <w:pPr>
        <w:pStyle w:val="Heading1"/>
      </w:pPr>
      <w:r>
        <w:t>3. Application Shell</w:t>
      </w:r>
    </w:p>
    <w:p>
      <w:pPr>
        <w:pStyle w:val="ListBullet"/>
      </w:pPr>
      <w:r>
        <w:t>Dark navy sidebar.</w:t>
      </w:r>
    </w:p>
    <w:p>
      <w:pPr>
        <w:pStyle w:val="ListBullet"/>
      </w:pPr>
      <w:r>
        <w:t>Top bar with page title, global search, notifications, help and profile.</w:t>
      </w:r>
    </w:p>
    <w:p>
      <w:pPr>
        <w:pStyle w:val="ListBullet"/>
      </w:pPr>
      <w:r>
        <w:t>Light content background with white cards.</w:t>
      </w:r>
    </w:p>
    <w:p>
      <w:pPr>
        <w:pStyle w:val="ListBullet"/>
      </w:pPr>
      <w:r>
        <w:t>Persistent New Inspection CTA.</w:t>
      </w:r>
    </w:p>
    <w:p>
      <w:pPr>
        <w:pStyle w:val="ListBullet"/>
      </w:pPr>
      <w:r>
        <w:t>Breadcrumb/context on inspection screens.</w:t>
      </w:r>
    </w:p>
    <w:p>
      <w:pPr>
        <w:pStyle w:val="Heading1"/>
      </w:pPr>
      <w:r>
        <w:t>4. Navigation</w:t>
      </w:r>
    </w:p>
    <w:p>
      <w:r>
        <w:t>Overview • New Inspection • Inspections • Products • Violations • Reports • Analytics • Rules • Users • Settings.</w:t>
      </w:r>
    </w:p>
    <w:p>
      <w:pPr>
        <w:pStyle w:val="Heading1"/>
      </w:pPr>
      <w:r>
        <w:t>5. Officer Dashboard</w:t>
      </w:r>
    </w:p>
    <w:p>
      <w:pPr>
        <w:pStyle w:val="ListBullet"/>
      </w:pPr>
      <w:r>
        <w:t>Header with context + New Inspection.</w:t>
      </w:r>
    </w:p>
    <w:p>
      <w:pPr>
        <w:pStyle w:val="ListBullet"/>
      </w:pPr>
      <w:r>
        <w:t>KPI cards: Total Inspections, Passed Checks, Potential Violations, Manual Review, Average Score.</w:t>
      </w:r>
    </w:p>
    <w:p>
      <w:pPr>
        <w:pStyle w:val="ListBullet"/>
      </w:pPr>
      <w:r>
        <w:t>Compliance trend chart.</w:t>
      </w:r>
    </w:p>
    <w:p>
      <w:pPr>
        <w:pStyle w:val="ListBullet"/>
      </w:pPr>
      <w:r>
        <w:t>Violation breakdown chart.</w:t>
      </w:r>
    </w:p>
    <w:p>
      <w:pPr>
        <w:pStyle w:val="ListBullet"/>
      </w:pPr>
      <w:r>
        <w:t>Recent inspections list.</w:t>
      </w:r>
    </w:p>
    <w:p>
      <w:pPr>
        <w:pStyle w:val="ListBullet"/>
      </w:pPr>
      <w:r>
        <w:t>Attention-required list.</w:t>
      </w:r>
    </w:p>
    <w:p>
      <w:pPr>
        <w:pStyle w:val="ListBullet"/>
      </w:pPr>
      <w:r>
        <w:t>Recurring issue insight card.</w:t>
      </w:r>
    </w:p>
    <w:p>
      <w:pPr>
        <w:pStyle w:val="Heading1"/>
      </w:pPr>
      <w:r>
        <w:t>6. Inspection UX</w:t>
      </w:r>
    </w:p>
    <w:p>
      <w:r>
        <w:t>Stepper: Upload → Quality Check → Extract → Validate → Review → Report.</w:t>
      </w:r>
    </w:p>
    <w:p>
      <w:pPr>
        <w:pStyle w:val="ListBullet"/>
      </w:pPr>
      <w:r>
        <w:t>Camera-first capture.</w:t>
      </w:r>
    </w:p>
    <w:p>
      <w:pPr>
        <w:pStyle w:val="ListBullet"/>
      </w:pPr>
      <w:r>
        <w:t>Multiple package-side images.</w:t>
      </w:r>
    </w:p>
    <w:p>
      <w:pPr>
        <w:pStyle w:val="ListBullet"/>
      </w:pPr>
      <w:r>
        <w:t>Quality feedback for blur/glare/incomplete images.</w:t>
      </w:r>
    </w:p>
    <w:p>
      <w:pPr>
        <w:pStyle w:val="ListBullet"/>
      </w:pPr>
      <w:r>
        <w:t>Visible processing timeline.</w:t>
      </w:r>
    </w:p>
    <w:p>
      <w:pPr>
        <w:pStyle w:val="ListBullet"/>
      </w:pPr>
      <w:r>
        <w:t>Extraction review with editable fields.</w:t>
      </w:r>
    </w:p>
    <w:p>
      <w:pPr>
        <w:pStyle w:val="ListBullet"/>
      </w:pPr>
      <w:r>
        <w:t>Split-screen analysis: evidence image on left, compliance/findings on right.</w:t>
      </w:r>
    </w:p>
    <w:p>
      <w:pPr>
        <w:pStyle w:val="Heading1"/>
      </w:pPr>
      <w:r>
        <w:t>7. Evidence Viewer</w:t>
      </w:r>
    </w:p>
    <w:p>
      <w:pPr>
        <w:pStyle w:val="ListBullet"/>
      </w:pPr>
      <w:r>
        <w:t>Zoom/pan/fullscreen.</w:t>
      </w:r>
    </w:p>
    <w:p>
      <w:pPr>
        <w:pStyle w:val="ListBullet"/>
      </w:pPr>
      <w:r>
        <w:t>Annotated bounding boxes.</w:t>
      </w:r>
    </w:p>
    <w:p>
      <w:pPr>
        <w:pStyle w:val="ListBullet"/>
      </w:pPr>
      <w:r>
        <w:t>Click finding to focus evidence region.</w:t>
      </w:r>
    </w:p>
    <w:p>
      <w:pPr>
        <w:pStyle w:val="ListBullet"/>
      </w:pPr>
      <w:r>
        <w:t>Show source image and evidence crop.</w:t>
      </w:r>
    </w:p>
    <w:p>
      <w:pPr>
        <w:pStyle w:val="ListBullet"/>
      </w:pPr>
      <w:r>
        <w:t>Controls to show/hide annotations.</w:t>
      </w:r>
    </w:p>
    <w:p>
      <w:pPr>
        <w:pStyle w:val="Heading1"/>
      </w:pPr>
      <w:r>
        <w:t>8. Compliance Summary</w:t>
      </w:r>
    </w:p>
    <w:p>
      <w:r>
        <w:t>Prominent score/status card with breakdown. Example: 92/100; configured checks passed; warnings; potential violations; manual review. Score must be explainable and deterministic.</w:t>
      </w:r>
    </w:p>
    <w:p>
      <w:pPr>
        <w:pStyle w:val="Heading1"/>
      </w:pPr>
      <w:r>
        <w:t>9. Finding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8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DE8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Declaration readability issue</w:t>
            </w:r>
          </w:p>
        </w:tc>
      </w:tr>
      <w:tr>
        <w:tc>
          <w:tcPr>
            <w:tcW w:type="dxa" w:w="4320"/>
          </w:tcPr>
          <w:p>
            <w:r>
              <w:t>Detected value</w:t>
            </w:r>
          </w:p>
        </w:tc>
        <w:tc>
          <w:tcPr>
            <w:tcW w:type="dxa" w:w="4320"/>
          </w:tcPr>
          <w:p>
            <w:r>
              <w:t>MRP ₹650</w:t>
            </w:r>
          </w:p>
        </w:tc>
      </w:tr>
      <w:tr>
        <w:tc>
          <w:tcPr>
            <w:tcW w:type="dxa" w:w="4320"/>
          </w:tcPr>
          <w:p>
            <w:r>
              <w:t>Why flagged</w:t>
            </w:r>
          </w:p>
        </w:tc>
        <w:tc>
          <w:tcPr>
            <w:tcW w:type="dxa" w:w="4320"/>
          </w:tcPr>
          <w:p>
            <w:r>
              <w:t>Configured readability threshold not met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Back label • lower-right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89%</w:t>
            </w:r>
          </w:p>
        </w:tc>
      </w:tr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LM-DEMO-002 • v1.0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Highlighted crop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Confirm • Reject • Manual Review</w:t>
            </w:r>
          </w:p>
        </w:tc>
      </w:tr>
    </w:tbl>
    <w:p/>
    <w:p>
      <w:pPr>
        <w:pStyle w:val="Heading1"/>
      </w:pPr>
      <w:r>
        <w:t>10. PRAMAN Assistant</w:t>
      </w:r>
    </w:p>
    <w:p>
      <w:r>
        <w:t>Use a contextual side panel for Explain this finding, Summarize inspection, Show why flagged and List manual-review items. The assistant must use inspection evidence/configured rules and must not override deterministic compliance results.</w:t>
      </w:r>
    </w:p>
    <w:p>
      <w:pPr>
        <w:pStyle w:val="Heading1"/>
      </w:pPr>
      <w:r>
        <w:t>11. Reports &amp; History</w:t>
      </w:r>
    </w:p>
    <w:p>
      <w:pPr>
        <w:pStyle w:val="ListBullet"/>
      </w:pPr>
      <w:r>
        <w:t>Report cards for inspection report/evidence pack/rule summary.</w:t>
      </w:r>
    </w:p>
    <w:p>
      <w:pPr>
        <w:pStyle w:val="ListBullet"/>
      </w:pPr>
      <w:r>
        <w:t>Search/filter by date, status, category, inspector and severity.</w:t>
      </w:r>
    </w:p>
    <w:p>
      <w:pPr>
        <w:pStyle w:val="ListBullet"/>
      </w:pPr>
      <w:r>
        <w:t>History table with Inspection ID, date, product, category, score, status, inspector and findings.</w:t>
      </w:r>
    </w:p>
    <w:p>
      <w:pPr>
        <w:pStyle w:val="Heading1"/>
      </w:pPr>
      <w:r>
        <w:t>12. Analytics</w:t>
      </w:r>
    </w:p>
    <w:p>
      <w:pPr>
        <w:pStyle w:val="ListBullet"/>
      </w:pPr>
      <w:r>
        <w:t>Compliance trend</w:t>
      </w:r>
    </w:p>
    <w:p>
      <w:pPr>
        <w:pStyle w:val="ListBullet"/>
      </w:pPr>
      <w:r>
        <w:t>Violations by type</w:t>
      </w:r>
    </w:p>
    <w:p>
      <w:pPr>
        <w:pStyle w:val="ListBullet"/>
      </w:pPr>
      <w:r>
        <w:t>Violations by category</w:t>
      </w:r>
    </w:p>
    <w:p>
      <w:pPr>
        <w:pStyle w:val="ListBullet"/>
      </w:pPr>
      <w:r>
        <w:t>Inspector activity</w:t>
      </w:r>
    </w:p>
    <w:p>
      <w:pPr>
        <w:pStyle w:val="ListBullet"/>
      </w:pPr>
      <w:r>
        <w:t>Manual review rate</w:t>
      </w:r>
    </w:p>
    <w:p>
      <w:pPr>
        <w:pStyle w:val="ListBullet"/>
      </w:pPr>
      <w:r>
        <w:t>Recurring products</w:t>
      </w:r>
    </w:p>
    <w:p>
      <w:pPr>
        <w:pStyle w:val="Heading1"/>
      </w:pPr>
      <w:r>
        <w:t>13. Consumer Mode</w:t>
      </w:r>
    </w:p>
    <w:p>
      <w:pPr>
        <w:pStyle w:val="ListBullet"/>
      </w:pPr>
      <w:r>
        <w:t>Single primary Scan Product CTA.</w:t>
      </w:r>
    </w:p>
    <w:p>
      <w:pPr>
        <w:pStyle w:val="ListBullet"/>
      </w:pPr>
      <w:r>
        <w:t>Large image and text.</w:t>
      </w:r>
    </w:p>
    <w:p>
      <w:pPr>
        <w:pStyle w:val="ListBullet"/>
      </w:pPr>
      <w:r>
        <w:t>Simple information/status cards.</w:t>
      </w:r>
    </w:p>
    <w:p>
      <w:pPr>
        <w:pStyle w:val="ListBullet"/>
      </w:pPr>
      <w:r>
        <w:t>No internal enforcement details.</w:t>
      </w:r>
    </w:p>
    <w:p>
      <w:pPr>
        <w:pStyle w:val="Heading1"/>
      </w:pPr>
      <w:r>
        <w:t>14. Responsive &amp; Accessibility</w:t>
      </w:r>
    </w:p>
    <w:p>
      <w:pPr>
        <w:pStyle w:val="ListBullet"/>
      </w:pPr>
      <w:r>
        <w:t>Desktop multi-column dashboard.</w:t>
      </w:r>
    </w:p>
    <w:p>
      <w:pPr>
        <w:pStyle w:val="ListBullet"/>
      </w:pPr>
      <w:r>
        <w:t>Tablet collapsible navigation.</w:t>
      </w:r>
    </w:p>
    <w:p>
      <w:pPr>
        <w:pStyle w:val="ListBullet"/>
      </w:pPr>
      <w:r>
        <w:t>Mobile camera-first workflow.</w:t>
      </w:r>
    </w:p>
    <w:p>
      <w:pPr>
        <w:pStyle w:val="ListBullet"/>
      </w:pPr>
      <w:r>
        <w:t>44px+ comfortable targets.</w:t>
      </w:r>
    </w:p>
    <w:p>
      <w:pPr>
        <w:pStyle w:val="ListBullet"/>
      </w:pPr>
      <w:r>
        <w:t>Strong contrast.</w:t>
      </w:r>
    </w:p>
    <w:p>
      <w:pPr>
        <w:pStyle w:val="ListBullet"/>
      </w:pPr>
      <w:r>
        <w:t>Status communicated by text + icon, not color alone.</w:t>
      </w:r>
    </w:p>
    <w:p>
      <w:pPr>
        <w:pStyle w:val="ListBullet"/>
      </w:pPr>
      <w:r>
        <w:t>Simple Mode with larger text and reduced density.</w:t>
      </w:r>
    </w:p>
    <w:p>
      <w:pPr>
        <w:pStyle w:val="ListBullet"/>
      </w:pPr>
      <w:r>
        <w:t>Reduced-motion support.</w:t>
      </w:r>
    </w:p>
    <w:p>
      <w:pPr>
        <w:pStyle w:val="Heading1"/>
      </w:pPr>
      <w:r>
        <w:t>15.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8F7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320"/>
            <w:shd w:fill="DDE8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4320"/>
          </w:tcPr>
          <w:p>
            <w:r>
              <w:t>Landing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Officer Dashboard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New Inspection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Capture / Upload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Quality Check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Extraction Review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Compliance Analysis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Evidence Viewer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Final Review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Inspection History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Violations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Rule Editor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Consumer Scan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</w:tbl>
    <w:p/>
    <w:p>
      <w:pPr>
        <w:pStyle w:val="Heading1"/>
      </w:pPr>
      <w:r>
        <w:t>16. Design Anti-Patterns</w:t>
      </w:r>
    </w:p>
    <w:p>
      <w:pPr>
        <w:pStyle w:val="ListBullet"/>
      </w:pPr>
      <w:r>
        <w:t>Do not build a generic AI SaaS dashboard.</w:t>
      </w:r>
    </w:p>
    <w:p>
      <w:pPr>
        <w:pStyle w:val="ListBullet"/>
      </w:pPr>
      <w:r>
        <w:t>Do not make the chatbot the product.</w:t>
      </w:r>
    </w:p>
    <w:p>
      <w:pPr>
        <w:pStyle w:val="ListBullet"/>
      </w:pPr>
      <w:r>
        <w:t>Do not use huge decorative animations.</w:t>
      </w:r>
    </w:p>
    <w:p>
      <w:pPr>
        <w:pStyle w:val="ListBullet"/>
      </w:pPr>
      <w:r>
        <w:t>Do not hide evidence behind multiple clicks.</w:t>
      </w:r>
    </w:p>
    <w:p>
      <w:pPr>
        <w:pStyle w:val="ListBullet"/>
      </w:pPr>
      <w:r>
        <w:t>Do not use red/green without labels.</w:t>
      </w:r>
    </w:p>
    <w:p>
      <w:pPr>
        <w:pStyle w:val="ListBullet"/>
      </w:pPr>
      <w:r>
        <w:t>Do not make unsupported compliance claims.</w:t>
      </w:r>
    </w:p>
    <w:p>
      <w:pPr>
        <w:pStyle w:val="ListBullet"/>
      </w:pPr>
      <w:r>
        <w:t>Do not create decorative charts with no drill-down.</w:t>
      </w:r>
    </w:p>
    <w:p>
      <w:pPr>
        <w:pStyle w:val="Heading1"/>
      </w:pPr>
      <w:r>
        <w:t>17. Final Direction</w:t>
      </w:r>
    </w:p>
    <w:p>
      <w:r>
        <w:t>NeuroBank-inspired dashboard clarity + government-tech trust + computer-vision evidence workspace + field inspection UX. The defining visual experience is the inspection analysis/evidence screen, not the dashboard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