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595959"/>
          <w:sz w:val="28"/>
          <w:szCs w:val="28"/>
        </w:rPr>
        <w:t xml:space="preserve">IMPLEMENTATION &amp; CODEBASE AUDIT REPORT</w:t>
      </w:r>
    </w:p>
    <w:p>
      <w:pPr>
        <w:spacing w:after="400" w:before="400"/>
        <w:jc w:val="center"/>
      </w:pPr>
      <w:r>
        <w:rPr>
          <w:color w:val="595959"/>
          <w:sz w:val="22"/>
          <w:szCs w:val="22"/>
        </w:rPr>
        <w:t xml:space="preserve">Course Code: 242301501 — Cross Platform Mobile Application Development</w:t>
      </w:r>
    </w:p>
    <w:p>
      <w:pPr>
        <w:spacing w:after="200" w:before="800"/>
        <w:jc w:val="center"/>
      </w:pPr>
      <w:r>
        <w:rPr>
          <w:b/>
          <w:bCs/>
          <w:color w:val="B3122E"/>
          <w:sz w:val="56"/>
          <w:szCs w:val="56"/>
        </w:rPr>
        <w:t xml:space="preserve">RaktSetu</w:t>
      </w:r>
    </w:p>
    <w:p>
      <w:pPr>
        <w:jc w:val="center"/>
      </w:pPr>
      <w:r>
        <w:rPr>
          <w:i/>
          <w:iCs/>
          <w:color w:val="1B3A6B"/>
          <w:sz w:val="26"/>
          <w:szCs w:val="26"/>
        </w:rPr>
        <w:t xml:space="preserve">A Cross-Platform Mobile Application for Voluntary Blood Donor</w:t>
      </w:r>
    </w:p>
    <w:p>
      <w:pPr>
        <w:spacing w:after="200"/>
        <w:jc w:val="center"/>
      </w:pPr>
      <w:r>
        <w:rPr>
          <w:i/>
          <w:iCs/>
          <w:color w:val="1B3A6B"/>
          <w:sz w:val="26"/>
          <w:szCs w:val="26"/>
        </w:rPr>
        <w:t xml:space="preserve">Registry, Donation Event Management &amp; Emergency Rare-Blood Request</w:t>
      </w:r>
    </w:p>
    <w:p>
      <w:pPr>
        <w:spacing w:after="700"/>
        <w:jc w:val="center"/>
      </w:pPr>
      <w:r>
        <w:rPr>
          <w:i/>
          <w:iCs/>
          <w:color w:val="595959"/>
          <w:sz w:val="20"/>
          <w:szCs w:val="20"/>
        </w:rPr>
        <w:t xml:space="preserve">Companion document to the original Project Proposal — describes the system as actually built, tested, and audited.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6500"/>
      </w:tblGrid>
      <w:tr>
        <w:trPr>
          <w:tblHeader/>
        </w:trPr>
        <w:tc>
          <w:tcPr>
            <w:tcW w:type="dxa" w:w="3200"/>
            <w:shd w:fill="1B3A6B"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6500"/>
            <w:shd w:fill="1B3A6B" w:val="clear"/>
            <w:tcMar>
              <w:top w:type="dxa" w:w="100"/>
              <w:left w:type="dxa" w:w="120"/>
              <w:bottom w:type="dxa" w:w="100"/>
              <w:right w:type="dxa" w:w="120"/>
            </w:tcMar>
            <w:vAlign w:val="center"/>
          </w:tcPr>
          <w:p>
            <w:pPr>
              <w:jc w:val="left"/>
            </w:pPr>
            <w:r>
              <w:rPr>
                <w:b/>
                <w:bCs/>
                <w:color w:val="FFFFFF"/>
                <w:sz w:val="20"/>
                <w:szCs w:val="20"/>
              </w:rPr>
              <w:t xml:space="preserve">Details</w:t>
            </w:r>
          </w:p>
        </w:tc>
      </w:tr>
      <w:tr>
        <w:tc>
          <w:tcPr>
            <w:tcW w:type="dxa" w:w="3200"/>
            <w:tcMar>
              <w:top w:type="dxa" w:w="100"/>
              <w:left w:type="dxa" w:w="120"/>
              <w:bottom w:type="dxa" w:w="100"/>
              <w:right w:type="dxa" w:w="120"/>
            </w:tcMar>
            <w:vAlign w:val="center"/>
          </w:tcPr>
          <w:p>
            <w:pPr>
              <w:jc w:val="left"/>
            </w:pPr>
            <w:r>
              <w:rPr>
                <w:b w:val="false"/>
                <w:bCs w:val="false"/>
                <w:color w:val="000000"/>
                <w:sz w:val="20"/>
                <w:szCs w:val="20"/>
              </w:rPr>
              <w:t xml:space="preserve">Project Title</w:t>
            </w:r>
          </w:p>
        </w:tc>
        <w:tc>
          <w:tcPr>
            <w:tcW w:type="dxa" w:w="6500"/>
            <w:tcMar>
              <w:top w:type="dxa" w:w="100"/>
              <w:left w:type="dxa" w:w="120"/>
              <w:bottom w:type="dxa" w:w="100"/>
              <w:right w:type="dxa" w:w="120"/>
            </w:tcMar>
            <w:vAlign w:val="center"/>
          </w:tcPr>
          <w:p>
            <w:pPr>
              <w:jc w:val="left"/>
            </w:pPr>
            <w:r>
              <w:rPr>
                <w:b w:val="false"/>
                <w:bCs w:val="false"/>
                <w:color w:val="000000"/>
                <w:sz w:val="20"/>
                <w:szCs w:val="20"/>
              </w:rPr>
              <w:t xml:space="preserve">RaktSetu – Blood Donor Registry &amp; Emergency Request Platform</w:t>
            </w:r>
          </w:p>
        </w:tc>
      </w:tr>
      <w:tr>
        <w:tc>
          <w:tcPr>
            <w:tcW w:type="dxa" w:w="32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Document Type</w:t>
            </w:r>
          </w:p>
        </w:tc>
        <w:tc>
          <w:tcPr>
            <w:tcW w:type="dxa" w:w="65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Implementation &amp; Audit Report (post-development)</w:t>
            </w:r>
          </w:p>
        </w:tc>
      </w:tr>
      <w:tr>
        <w:tc>
          <w:tcPr>
            <w:tcW w:type="dxa" w:w="3200"/>
            <w:tcMar>
              <w:top w:type="dxa" w:w="100"/>
              <w:left w:type="dxa" w:w="120"/>
              <w:bottom w:type="dxa" w:w="100"/>
              <w:right w:type="dxa" w:w="120"/>
            </w:tcMar>
            <w:vAlign w:val="center"/>
          </w:tcPr>
          <w:p>
            <w:pPr>
              <w:jc w:val="left"/>
            </w:pPr>
            <w:r>
              <w:rPr>
                <w:b w:val="false"/>
                <w:bCs w:val="false"/>
                <w:color w:val="000000"/>
                <w:sz w:val="20"/>
                <w:szCs w:val="20"/>
              </w:rPr>
              <w:t xml:space="preserve">Technology</w:t>
            </w:r>
          </w:p>
        </w:tc>
        <w:tc>
          <w:tcPr>
            <w:tcW w:type="dxa" w:w="6500"/>
            <w:tcMar>
              <w:top w:type="dxa" w:w="100"/>
              <w:left w:type="dxa" w:w="120"/>
              <w:bottom w:type="dxa" w:w="100"/>
              <w:right w:type="dxa" w:w="120"/>
            </w:tcMar>
            <w:vAlign w:val="center"/>
          </w:tcPr>
          <w:p>
            <w:pPr>
              <w:jc w:val="left"/>
            </w:pPr>
            <w:r>
              <w:rPr>
                <w:b w:val="false"/>
                <w:bCs w:val="false"/>
                <w:color w:val="000000"/>
                <w:sz w:val="20"/>
                <w:szCs w:val="20"/>
              </w:rPr>
              <w:t xml:space="preserve">Flutter (Dart) — Android, iOS, Web, Windows</w:t>
            </w:r>
          </w:p>
        </w:tc>
      </w:tr>
      <w:tr>
        <w:tc>
          <w:tcPr>
            <w:tcW w:type="dxa" w:w="32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Current Backend</w:t>
            </w:r>
          </w:p>
        </w:tc>
        <w:tc>
          <w:tcPr>
            <w:tcW w:type="dxa" w:w="65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In-memory mock repository (Firebase-ready interface layer — see §4)</w:t>
            </w:r>
          </w:p>
        </w:tc>
      </w:tr>
      <w:tr>
        <w:tc>
          <w:tcPr>
            <w:tcW w:type="dxa" w:w="3200"/>
            <w:tcMar>
              <w:top w:type="dxa" w:w="100"/>
              <w:left w:type="dxa" w:w="120"/>
              <w:bottom w:type="dxa" w:w="100"/>
              <w:right w:type="dxa" w:w="120"/>
            </w:tcMar>
            <w:vAlign w:val="center"/>
          </w:tcPr>
          <w:p>
            <w:pPr>
              <w:jc w:val="left"/>
            </w:pPr>
            <w:r>
              <w:rPr>
                <w:b w:val="false"/>
                <w:bCs w:val="false"/>
                <w:color w:val="000000"/>
                <w:sz w:val="20"/>
                <w:szCs w:val="20"/>
              </w:rPr>
              <w:t xml:space="preserve">Team Size</w:t>
            </w:r>
          </w:p>
        </w:tc>
        <w:tc>
          <w:tcPr>
            <w:tcW w:type="dxa" w:w="6500"/>
            <w:tcMar>
              <w:top w:type="dxa" w:w="100"/>
              <w:left w:type="dxa" w:w="120"/>
              <w:bottom w:type="dxa" w:w="100"/>
              <w:right w:type="dxa" w:w="120"/>
            </w:tcMar>
            <w:vAlign w:val="center"/>
          </w:tcPr>
          <w:p>
            <w:pPr>
              <w:jc w:val="left"/>
            </w:pPr>
            <w:r>
              <w:rPr>
                <w:b w:val="false"/>
                <w:bCs w:val="false"/>
                <w:color w:val="000000"/>
                <w:sz w:val="20"/>
                <w:szCs w:val="20"/>
              </w:rPr>
              <w:t xml:space="preserve">3 Students</w:t>
            </w:r>
          </w:p>
        </w:tc>
      </w:tr>
      <w:tr>
        <w:tc>
          <w:tcPr>
            <w:tcW w:type="dxa" w:w="32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Enrolment No. 1</w:t>
            </w:r>
          </w:p>
        </w:tc>
        <w:tc>
          <w:tcPr>
            <w:tcW w:type="dxa" w:w="65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202402519010161 — Mohammedmoin Abdulvahid Memon</w:t>
            </w:r>
          </w:p>
        </w:tc>
      </w:tr>
      <w:tr>
        <w:tc>
          <w:tcPr>
            <w:tcW w:type="dxa" w:w="3200"/>
            <w:tcMar>
              <w:top w:type="dxa" w:w="100"/>
              <w:left w:type="dxa" w:w="120"/>
              <w:bottom w:type="dxa" w:w="100"/>
              <w:right w:type="dxa" w:w="120"/>
            </w:tcMar>
            <w:vAlign w:val="center"/>
          </w:tcPr>
          <w:p>
            <w:pPr>
              <w:jc w:val="left"/>
            </w:pPr>
            <w:r>
              <w:rPr>
                <w:b w:val="false"/>
                <w:bCs w:val="false"/>
                <w:color w:val="000000"/>
                <w:sz w:val="20"/>
                <w:szCs w:val="20"/>
              </w:rPr>
              <w:t xml:space="preserve">Enrolment No. 2</w:t>
            </w:r>
          </w:p>
        </w:tc>
        <w:tc>
          <w:tcPr>
            <w:tcW w:type="dxa" w:w="6500"/>
            <w:tcMar>
              <w:top w:type="dxa" w:w="100"/>
              <w:left w:type="dxa" w:w="120"/>
              <w:bottom w:type="dxa" w:w="100"/>
              <w:right w:type="dxa" w:w="120"/>
            </w:tcMar>
            <w:vAlign w:val="center"/>
          </w:tcPr>
          <w:p>
            <w:pPr>
              <w:jc w:val="left"/>
            </w:pPr>
            <w:r>
              <w:rPr>
                <w:b w:val="false"/>
                <w:bCs w:val="false"/>
                <w:color w:val="000000"/>
                <w:sz w:val="20"/>
                <w:szCs w:val="20"/>
              </w:rPr>
              <w:t xml:space="preserve">202402519010192 — Pathan Arkannoor Arshadnoor</w:t>
            </w:r>
          </w:p>
        </w:tc>
      </w:tr>
      <w:tr>
        <w:tc>
          <w:tcPr>
            <w:tcW w:type="dxa" w:w="32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Enrolment No. 3</w:t>
            </w:r>
          </w:p>
        </w:tc>
        <w:tc>
          <w:tcPr>
            <w:tcW w:type="dxa" w:w="65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202402519010162 — Memon Muhammed Mohnishbhai</w:t>
            </w:r>
          </w:p>
        </w:tc>
      </w:tr>
      <w:tr>
        <w:tc>
          <w:tcPr>
            <w:tcW w:type="dxa" w:w="3200"/>
            <w:tcMar>
              <w:top w:type="dxa" w:w="100"/>
              <w:left w:type="dxa" w:w="120"/>
              <w:bottom w:type="dxa" w:w="100"/>
              <w:right w:type="dxa" w:w="120"/>
            </w:tcMar>
            <w:vAlign w:val="center"/>
          </w:tcPr>
          <w:p>
            <w:pPr>
              <w:jc w:val="left"/>
            </w:pPr>
            <w:r>
              <w:rPr>
                <w:b w:val="false"/>
                <w:bCs w:val="false"/>
                <w:color w:val="000000"/>
                <w:sz w:val="20"/>
                <w:szCs w:val="20"/>
              </w:rPr>
              <w:t xml:space="preserve">Guide</w:t>
            </w:r>
          </w:p>
        </w:tc>
        <w:tc>
          <w:tcPr>
            <w:tcW w:type="dxa" w:w="6500"/>
            <w:tcMar>
              <w:top w:type="dxa" w:w="100"/>
              <w:left w:type="dxa" w:w="120"/>
              <w:bottom w:type="dxa" w:w="100"/>
              <w:right w:type="dxa" w:w="120"/>
            </w:tcMar>
            <w:vAlign w:val="center"/>
          </w:tcPr>
          <w:p>
            <w:pPr>
              <w:jc w:val="left"/>
            </w:pPr>
            <w:r>
              <w:rPr>
                <w:b w:val="false"/>
                <w:bCs w:val="false"/>
                <w:color w:val="000000"/>
                <w:sz w:val="20"/>
                <w:szCs w:val="20"/>
              </w:rPr>
              <w:t xml:space="preserve">Dr. Neha Samsir</w:t>
            </w:r>
          </w:p>
        </w:tc>
      </w:tr>
      <w:tr>
        <w:tc>
          <w:tcPr>
            <w:tcW w:type="dxa" w:w="32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Report Date</w:t>
            </w:r>
          </w:p>
        </w:tc>
        <w:tc>
          <w:tcPr>
            <w:tcW w:type="dxa" w:w="65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August 2026</w:t>
            </w:r>
          </w:p>
        </w:tc>
      </w:tr>
    </w:tbl>
    <w:p>
      <w:r>
        <w:br w:type="page"/>
      </w:r>
    </w:p>
    <w:p>
      <w:pPr>
        <w:sectPr>
          <w:pgSz w:w="11906" w:h="16838" w:orient="portrait"/>
          <w:pgMar w:top="1000" w:right="1100" w:bottom="1000" w:left="1100" w:header="708" w:footer="708" w:gutter="0"/>
          <w:pgNumType/>
          <w:docGrid w:linePitch="360"/>
        </w:sectPr>
      </w:pPr>
    </w:p>
    <w:p>
      <w:pPr>
        <w:pStyle w:val="Heading1"/>
        <w:spacing w:after="160" w:before="28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280"/>
      </w:pPr>
      <w:r>
        <w:t xml:space="preserve">1. Purpose of This Report</w:t>
      </w:r>
    </w:p>
    <w:p>
      <w:pPr>
        <w:spacing w:after="160" w:line="300"/>
      </w:pPr>
      <w:r>
        <w:rPr>
          <w:sz w:val="22"/>
          <w:szCs w:val="22"/>
        </w:rPr>
        <w:t xml:space="preserve">The original Project Proposal (submitted at registration) described the intended scope of RaktSetu. This report documents the system as it was actually designed, built, iteratively enhanced, and audited during development. It captures every implemented module, the final technology stack, the core data model in its current form, the key engineering decisions behind the matching/eligibility/verification logic, a full log of bugs identified during codebase audits and how each was resolved, and an honest account of remaining limitations and suggested future work.</w:t>
      </w:r>
    </w:p>
    <w:p>
      <w:pPr>
        <w:pStyle w:val="Heading1"/>
        <w:spacing w:after="160" w:before="280"/>
      </w:pPr>
      <w:r>
        <w:t xml:space="preserve">2. Implementation Summary</w:t>
      </w:r>
    </w:p>
    <w:p>
      <w:pPr>
        <w:spacing w:after="160" w:line="300"/>
      </w:pPr>
      <w:r>
        <w:rPr>
          <w:sz w:val="22"/>
          <w:szCs w:val="22"/>
        </w:rPr>
        <w:t xml:space="preserve">RaktSetu was built as a single Flutter codebase targeting Android, iOS, Web, and Windows desktop. It ships with a fully functional in-memory mock backend pre-loaded with sample donors, events, and requests — allowing the complete application to run and be demonstrated without any external server or Firebase project. A clean repository-pattern interface (AuthService, DataRepository) separates business logic from the data source, so the mock backend can be swapped for a real Firebase implementation later without changing any screen code.</w:t>
      </w:r>
    </w:p>
    <w:p>
      <w:pPr>
        <w:spacing w:after="160" w:line="300"/>
      </w:pPr>
      <w:r>
        <w:rPr>
          <w:sz w:val="22"/>
          <w:szCs w:val="22"/>
        </w:rPr>
        <w:t xml:space="preserve">Beyond the originally proposed eight modules, the implementation was extended — following a structured competitive review of existing blood-donation apps (American Red Cross Blood Donor, Vitalant, Stanford Blood Center's Digital Donor, Friends2Support.org, and India's e-RaktKosh) — with several additional features: real GPS-distance-based donor matching, a digital donor ID with QR-code camp check-in, donation milestone badges, in-app notifications, and a donor-referral program with its own badge tier. These are detailed in §3.</w:t>
      </w:r>
    </w:p>
    <w:p>
      <w:pPr>
        <w:pStyle w:val="Heading1"/>
        <w:spacing w:after="160" w:before="280"/>
      </w:pPr>
      <w:r>
        <w:t xml:space="preserve">3. Implemented Modules — Detailed Status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800"/>
      </w:tblGrid>
      <w:tr>
        <w:trPr>
          <w:tblHeader/>
        </w:trPr>
        <w:tc>
          <w:tcPr>
            <w:tcW w:type="dxa" w:w="500"/>
            <w:shd w:fill="1B3A6B" w:val="clear"/>
            <w:tcMar>
              <w:top w:type="dxa" w:w="100"/>
              <w:left w:type="dxa" w:w="120"/>
              <w:bottom w:type="dxa" w:w="100"/>
              <w:right w:type="dxa" w:w="120"/>
            </w:tcMar>
            <w:vAlign w:val="center"/>
          </w:tcPr>
          <w:p>
            <w:pPr>
              <w:jc w:val="left"/>
            </w:pPr>
            <w:r>
              <w:rPr>
                <w:b/>
                <w:bCs/>
                <w:color w:val="FFFFFF"/>
                <w:sz w:val="20"/>
                <w:szCs w:val="20"/>
              </w:rPr>
              <w:t xml:space="preserve">#</w:t>
            </w:r>
          </w:p>
        </w:tc>
        <w:tc>
          <w:tcPr>
            <w:tcW w:type="dxa" w:w="2400"/>
            <w:shd w:fill="1B3A6B" w:val="clear"/>
            <w:tcMar>
              <w:top w:type="dxa" w:w="100"/>
              <w:left w:type="dxa" w:w="120"/>
              <w:bottom w:type="dxa" w:w="100"/>
              <w:right w:type="dxa" w:w="120"/>
            </w:tcMar>
            <w:vAlign w:val="center"/>
          </w:tcPr>
          <w:p>
            <w:pPr>
              <w:jc w:val="left"/>
            </w:pPr>
            <w:r>
              <w:rPr>
                <w:b/>
                <w:bCs/>
                <w:color w:val="FFFFFF"/>
                <w:sz w:val="20"/>
                <w:szCs w:val="20"/>
              </w:rPr>
              <w:t xml:space="preserve">Module</w:t>
            </w:r>
          </w:p>
        </w:tc>
        <w:tc>
          <w:tcPr>
            <w:tcW w:type="dxa" w:w="6800"/>
            <w:shd w:fill="1B3A6B" w:val="clear"/>
            <w:tcMar>
              <w:top w:type="dxa" w:w="100"/>
              <w:left w:type="dxa" w:w="120"/>
              <w:bottom w:type="dxa" w:w="100"/>
              <w:right w:type="dxa" w:w="120"/>
            </w:tcMar>
            <w:vAlign w:val="center"/>
          </w:tcPr>
          <w:p>
            <w:pPr>
              <w:jc w:val="left"/>
            </w:pPr>
            <w:r>
              <w:rPr>
                <w:b/>
                <w:bCs/>
                <w:color w:val="FFFFFF"/>
                <w:sz w:val="20"/>
                <w:szCs w:val="20"/>
              </w:rPr>
              <w:t xml:space="preserve">Implementation Details</w:t>
            </w:r>
          </w:p>
        </w:tc>
      </w:tr>
      <w:tr>
        <w:tc>
          <w:tcPr>
            <w:tcW w:type="dxa" w:w="500"/>
            <w:tcMar>
              <w:top w:type="dxa" w:w="100"/>
              <w:left w:type="dxa" w:w="120"/>
              <w:bottom w:type="dxa" w:w="100"/>
              <w:right w:type="dxa" w:w="120"/>
            </w:tcMar>
            <w:vAlign w:val="center"/>
          </w:tcPr>
          <w:p>
            <w:pPr>
              <w:jc w:val="left"/>
            </w:pPr>
            <w:r>
              <w:rPr>
                <w:b w:val="false"/>
                <w:bCs w:val="false"/>
                <w:color w:val="000000"/>
                <w:sz w:val="20"/>
                <w:szCs w:val="20"/>
              </w:rPr>
              <w:t xml:space="preserve">1</w:t>
            </w:r>
          </w:p>
        </w:tc>
        <w:tc>
          <w:tcPr>
            <w:tcW w:type="dxa" w:w="2400"/>
            <w:tcMar>
              <w:top w:type="dxa" w:w="100"/>
              <w:left w:type="dxa" w:w="120"/>
              <w:bottom w:type="dxa" w:w="100"/>
              <w:right w:type="dxa" w:w="120"/>
            </w:tcMar>
            <w:vAlign w:val="center"/>
          </w:tcPr>
          <w:p>
            <w:pPr>
              <w:jc w:val="left"/>
            </w:pPr>
            <w:r>
              <w:rPr>
                <w:b w:val="false"/>
                <w:bCs w:val="false"/>
                <w:color w:val="000000"/>
                <w:sz w:val="20"/>
                <w:szCs w:val="20"/>
              </w:rPr>
              <w:t xml:space="preserve">Authentication</w:t>
            </w:r>
          </w:p>
        </w:tc>
        <w:tc>
          <w:tcPr>
            <w:tcW w:type="dxa" w:w="6800"/>
            <w:tcMar>
              <w:top w:type="dxa" w:w="100"/>
              <w:left w:type="dxa" w:w="120"/>
              <w:bottom w:type="dxa" w:w="100"/>
              <w:right w:type="dxa" w:w="120"/>
            </w:tcMar>
            <w:vAlign w:val="center"/>
          </w:tcPr>
          <w:p>
            <w:pPr>
              <w:jc w:val="left"/>
            </w:pPr>
            <w:r>
              <w:rPr>
                <w:b w:val="false"/>
                <w:bCs w:val="false"/>
                <w:color w:val="000000"/>
                <w:sz w:val="20"/>
                <w:szCs w:val="20"/>
              </w:rPr>
              <w:t xml:space="preserve">Phone number entry + 6-digit OTP verification (mocked locally for demo — console-printed OTP or a fixed demo bypass code). Specific phone numbers are flagged as Admin accounts.</w:t>
            </w:r>
          </w:p>
        </w:tc>
      </w:tr>
      <w:tr>
        <w:tc>
          <w:tcPr>
            <w:tcW w:type="dxa" w:w="5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2</w:t>
            </w:r>
          </w:p>
        </w:tc>
        <w:tc>
          <w:tcPr>
            <w:tcW w:type="dxa" w:w="24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Donor Repository</w:t>
            </w:r>
          </w:p>
        </w:tc>
        <w:tc>
          <w:tcPr>
            <w:tcW w:type="dxa" w:w="68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Full-text/filter search across blood group, city, and live eligibility status. Donors can edit their own profile (name, blood group, city, gender, DOB, GPS location) after signup, with a confirmation safeguard if blood group is changed after donation history already exists.</w:t>
            </w:r>
          </w:p>
        </w:tc>
      </w:tr>
      <w:tr>
        <w:tc>
          <w:tcPr>
            <w:tcW w:type="dxa" w:w="500"/>
            <w:tcMar>
              <w:top w:type="dxa" w:w="100"/>
              <w:left w:type="dxa" w:w="120"/>
              <w:bottom w:type="dxa" w:w="100"/>
              <w:right w:type="dxa" w:w="120"/>
            </w:tcMar>
            <w:vAlign w:val="center"/>
          </w:tcPr>
          <w:p>
            <w:pPr>
              <w:jc w:val="left"/>
            </w:pPr>
            <w:r>
              <w:rPr>
                <w:b w:val="false"/>
                <w:bCs w:val="false"/>
                <w:color w:val="000000"/>
                <w:sz w:val="20"/>
                <w:szCs w:val="20"/>
              </w:rPr>
              <w:t xml:space="preserve">3</w:t>
            </w:r>
          </w:p>
        </w:tc>
        <w:tc>
          <w:tcPr>
            <w:tcW w:type="dxa" w:w="2400"/>
            <w:tcMar>
              <w:top w:type="dxa" w:w="100"/>
              <w:left w:type="dxa" w:w="120"/>
              <w:bottom w:type="dxa" w:w="100"/>
              <w:right w:type="dxa" w:w="120"/>
            </w:tcMar>
            <w:vAlign w:val="center"/>
          </w:tcPr>
          <w:p>
            <w:pPr>
              <w:jc w:val="left"/>
            </w:pPr>
            <w:r>
              <w:rPr>
                <w:b w:val="false"/>
                <w:bCs w:val="false"/>
                <w:color w:val="000000"/>
                <w:sz w:val="20"/>
                <w:szCs w:val="20"/>
              </w:rPr>
              <w:t xml:space="preserve">Event Management</w:t>
            </w:r>
          </w:p>
        </w:tc>
        <w:tc>
          <w:tcPr>
            <w:tcW w:type="dxa" w:w="6800"/>
            <w:tcMar>
              <w:top w:type="dxa" w:w="100"/>
              <w:left w:type="dxa" w:w="120"/>
              <w:bottom w:type="dxa" w:w="100"/>
              <w:right w:type="dxa" w:w="120"/>
            </w:tcMar>
            <w:vAlign w:val="center"/>
          </w:tcPr>
          <w:p>
            <w:pPr>
              <w:jc w:val="left"/>
            </w:pPr>
            <w:r>
              <w:rPr>
                <w:b w:val="false"/>
                <w:bCs w:val="false"/>
                <w:color w:val="000000"/>
                <w:sz w:val="20"/>
                <w:szCs w:val="20"/>
              </w:rPr>
              <w:t xml:space="preserve">Events are tagged Upcoming / Live / Past automatically from system time. Available as a filterable list AND as a full calendar view (day markers colour-coded by status) — an enhancement beyond the original proposal.</w:t>
            </w:r>
          </w:p>
        </w:tc>
      </w:tr>
      <w:tr>
        <w:tc>
          <w:tcPr>
            <w:tcW w:type="dxa" w:w="5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4</w:t>
            </w:r>
          </w:p>
        </w:tc>
        <w:tc>
          <w:tcPr>
            <w:tcW w:type="dxa" w:w="24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Event Self-Registration</w:t>
            </w:r>
          </w:p>
        </w:tc>
        <w:tc>
          <w:tcPr>
            <w:tcW w:type="dxa" w:w="68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Capacity-aware registration that prevents duplicate sign-ups and blocks registration once an event is full or has started.</w:t>
            </w:r>
          </w:p>
        </w:tc>
      </w:tr>
      <w:tr>
        <w:tc>
          <w:tcPr>
            <w:tcW w:type="dxa" w:w="500"/>
            <w:tcMar>
              <w:top w:type="dxa" w:w="100"/>
              <w:left w:type="dxa" w:w="120"/>
              <w:bottom w:type="dxa" w:w="100"/>
              <w:right w:type="dxa" w:w="120"/>
            </w:tcMar>
            <w:vAlign w:val="center"/>
          </w:tcPr>
          <w:p>
            <w:pPr>
              <w:jc w:val="left"/>
            </w:pPr>
            <w:r>
              <w:rPr>
                <w:b w:val="false"/>
                <w:bCs w:val="false"/>
                <w:color w:val="000000"/>
                <w:sz w:val="20"/>
                <w:szCs w:val="20"/>
              </w:rPr>
              <w:t xml:space="preserve">5</w:t>
            </w:r>
          </w:p>
        </w:tc>
        <w:tc>
          <w:tcPr>
            <w:tcW w:type="dxa" w:w="2400"/>
            <w:tcMar>
              <w:top w:type="dxa" w:w="100"/>
              <w:left w:type="dxa" w:w="120"/>
              <w:bottom w:type="dxa" w:w="100"/>
              <w:right w:type="dxa" w:w="120"/>
            </w:tcMar>
            <w:vAlign w:val="center"/>
          </w:tcPr>
          <w:p>
            <w:pPr>
              <w:jc w:val="left"/>
            </w:pPr>
            <w:r>
              <w:rPr>
                <w:b w:val="false"/>
                <w:bCs w:val="false"/>
                <w:color w:val="000000"/>
                <w:sz w:val="20"/>
                <w:szCs w:val="20"/>
              </w:rPr>
              <w:t xml:space="preserve">Donation History &amp; Badges</w:t>
            </w:r>
          </w:p>
        </w:tc>
        <w:tc>
          <w:tcPr>
            <w:tcW w:type="dxa" w:w="6800"/>
            <w:tcMar>
              <w:top w:type="dxa" w:w="100"/>
              <w:left w:type="dxa" w:w="120"/>
              <w:bottom w:type="dxa" w:w="100"/>
              <w:right w:type="dxa" w:w="120"/>
            </w:tcMar>
            <w:vAlign w:val="center"/>
          </w:tcPr>
          <w:p>
            <w:pPr>
              <w:jc w:val="left"/>
            </w:pPr>
            <w:r>
              <w:rPr>
                <w:b w:val="false"/>
                <w:bCs w:val="false"/>
                <w:color w:val="000000"/>
                <w:sz w:val="20"/>
                <w:szCs w:val="20"/>
              </w:rPr>
              <w:t xml:space="preserve">Each donation record distinguishes “Self-reported” (logged by the donor) from “Verified by &lt;Admin Name&gt;” (confirmed by a coordinator), preventing a false claim of verification. Six donation-milestone badges (First Drop → Lifesaver Legend) are awarded automatically based on confirmed donation count.</w:t>
            </w:r>
          </w:p>
        </w:tc>
      </w:tr>
      <w:tr>
        <w:tc>
          <w:tcPr>
            <w:tcW w:type="dxa" w:w="5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6</w:t>
            </w:r>
          </w:p>
        </w:tc>
        <w:tc>
          <w:tcPr>
            <w:tcW w:type="dxa" w:w="24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Emergency Blood Request</w:t>
            </w:r>
          </w:p>
        </w:tc>
        <w:tc>
          <w:tcPr>
            <w:tcW w:type="dxa" w:w="68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Requesters specify blood group, units, hospital, and urgency. Matching donors are ranked by (a) eligibility, (b) real GPS distance via the Haversine formula when location is available (falling back to city-name matching otherwise), and (c) longest rest since last donation. A one-tap call button opens the phone dialer directly to a matched donor.</w:t>
            </w:r>
          </w:p>
        </w:tc>
      </w:tr>
      <w:tr>
        <w:tc>
          <w:tcPr>
            <w:tcW w:type="dxa" w:w="500"/>
            <w:tcMar>
              <w:top w:type="dxa" w:w="100"/>
              <w:left w:type="dxa" w:w="120"/>
              <w:bottom w:type="dxa" w:w="100"/>
              <w:right w:type="dxa" w:w="120"/>
            </w:tcMar>
            <w:vAlign w:val="center"/>
          </w:tcPr>
          <w:p>
            <w:pPr>
              <w:jc w:val="left"/>
            </w:pPr>
            <w:r>
              <w:rPr>
                <w:b w:val="false"/>
                <w:bCs w:val="false"/>
                <w:color w:val="000000"/>
                <w:sz w:val="20"/>
                <w:szCs w:val="20"/>
              </w:rPr>
              <w:t xml:space="preserve">7</w:t>
            </w:r>
          </w:p>
        </w:tc>
        <w:tc>
          <w:tcPr>
            <w:tcW w:type="dxa" w:w="2400"/>
            <w:tcMar>
              <w:top w:type="dxa" w:w="100"/>
              <w:left w:type="dxa" w:w="120"/>
              <w:bottom w:type="dxa" w:w="100"/>
              <w:right w:type="dxa" w:w="120"/>
            </w:tcMar>
            <w:vAlign w:val="center"/>
          </w:tcPr>
          <w:p>
            <w:pPr>
              <w:jc w:val="left"/>
            </w:pPr>
            <w:r>
              <w:rPr>
                <w:b w:val="false"/>
                <w:bCs w:val="false"/>
                <w:color w:val="000000"/>
                <w:sz w:val="20"/>
                <w:szCs w:val="20"/>
              </w:rPr>
              <w:t xml:space="preserve">Notifications</w:t>
            </w:r>
          </w:p>
        </w:tc>
        <w:tc>
          <w:tcPr>
            <w:tcW w:type="dxa" w:w="6800"/>
            <w:tcMar>
              <w:top w:type="dxa" w:w="100"/>
              <w:left w:type="dxa" w:w="120"/>
              <w:bottom w:type="dxa" w:w="100"/>
              <w:right w:type="dxa" w:w="120"/>
            </w:tcMar>
            <w:vAlign w:val="center"/>
          </w:tcPr>
          <w:p>
            <w:pPr>
              <w:jc w:val="left"/>
            </w:pPr>
            <w:r>
              <w:rPr>
                <w:b w:val="false"/>
                <w:bCs w:val="false"/>
                <w:color w:val="000000"/>
                <w:sz w:val="20"/>
                <w:szCs w:val="20"/>
              </w:rPr>
              <w:t xml:space="preserve">An in-app notification inbox (with an unread-count badge) informs donors when: their blood type matches a new request, a request they raised changes status, their donation is verified, they register for an event, or someone joins using their referral code.</w:t>
            </w:r>
          </w:p>
        </w:tc>
      </w:tr>
      <w:tr>
        <w:tc>
          <w:tcPr>
            <w:tcW w:type="dxa" w:w="5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8</w:t>
            </w:r>
          </w:p>
        </w:tc>
        <w:tc>
          <w:tcPr>
            <w:tcW w:type="dxa" w:w="24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Admin Dashboard</w:t>
            </w:r>
          </w:p>
        </w:tc>
        <w:tc>
          <w:tcPr>
            <w:tcW w:type="dxa" w:w="68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Four tabs: (i) create/cancel donation events, (ii) verify donations per event with an eligibility safety-check dialog, (iii) resolve blood requests (Open → Partially Fulfilled / Fulfilled / Closed), and (iv) a walk-in donor Check-In flow — scan a donor's QR code or look them up by phone, optionally register them for a live event on the spot, and confirm their donation in one flow.</w:t>
            </w:r>
          </w:p>
        </w:tc>
      </w:tr>
      <w:tr>
        <w:tc>
          <w:tcPr>
            <w:tcW w:type="dxa" w:w="500"/>
            <w:tcMar>
              <w:top w:type="dxa" w:w="100"/>
              <w:left w:type="dxa" w:w="120"/>
              <w:bottom w:type="dxa" w:w="100"/>
              <w:right w:type="dxa" w:w="120"/>
            </w:tcMar>
            <w:vAlign w:val="center"/>
          </w:tcPr>
          <w:p>
            <w:pPr>
              <w:jc w:val="left"/>
            </w:pPr>
            <w:r>
              <w:rPr>
                <w:b w:val="false"/>
                <w:bCs w:val="false"/>
                <w:color w:val="000000"/>
                <w:sz w:val="20"/>
                <w:szCs w:val="20"/>
              </w:rPr>
              <w:t xml:space="preserve">—</w:t>
            </w:r>
          </w:p>
        </w:tc>
        <w:tc>
          <w:tcPr>
            <w:tcW w:type="dxa" w:w="2400"/>
            <w:tcMar>
              <w:top w:type="dxa" w:w="100"/>
              <w:left w:type="dxa" w:w="120"/>
              <w:bottom w:type="dxa" w:w="100"/>
              <w:right w:type="dxa" w:w="120"/>
            </w:tcMar>
            <w:vAlign w:val="center"/>
          </w:tcPr>
          <w:p>
            <w:pPr>
              <w:jc w:val="left"/>
            </w:pPr>
            <w:r>
              <w:rPr>
                <w:b w:val="false"/>
                <w:bCs w:val="false"/>
                <w:color w:val="000000"/>
                <w:sz w:val="20"/>
                <w:szCs w:val="20"/>
              </w:rPr>
              <w:t xml:space="preserve">Digital Donor ID (QR)</w:t>
            </w:r>
          </w:p>
        </w:tc>
        <w:tc>
          <w:tcPr>
            <w:tcW w:type="dxa" w:w="6800"/>
            <w:tcMar>
              <w:top w:type="dxa" w:w="100"/>
              <w:left w:type="dxa" w:w="120"/>
              <w:bottom w:type="dxa" w:w="100"/>
              <w:right w:type="dxa" w:w="120"/>
            </w:tcMar>
            <w:vAlign w:val="center"/>
          </w:tcPr>
          <w:p>
            <w:pPr>
              <w:jc w:val="left"/>
            </w:pPr>
            <w:r>
              <w:rPr>
                <w:b w:val="false"/>
                <w:bCs w:val="false"/>
                <w:color w:val="000000"/>
                <w:sz w:val="20"/>
                <w:szCs w:val="20"/>
              </w:rPr>
              <w:t xml:space="preserve">Each donor has a personal QR code (a namespaced payload, e.g. raktsetu:donor:&lt;id&gt;) shown on a shareable ID-card screen, scanned during camp Check-In (§8, module 8).</w:t>
            </w:r>
          </w:p>
        </w:tc>
      </w:tr>
      <w:tr>
        <w:tc>
          <w:tcPr>
            <w:tcW w:type="dxa" w:w="5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w:t>
            </w:r>
          </w:p>
        </w:tc>
        <w:tc>
          <w:tcPr>
            <w:tcW w:type="dxa" w:w="24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Referral Program</w:t>
            </w:r>
          </w:p>
        </w:tc>
        <w:tc>
          <w:tcPr>
            <w:tcW w:type="dxa" w:w="68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Every donor gets an auto-generated, collision-free referral code. New signups may enter one at profile setup (validated against existing donors); the referrer is notified and can unlock referral badges (Recruiter → Blood Champion) as more people join through their code. A built-in share sheet lets donors invite friends directly.</w:t>
            </w:r>
          </w:p>
        </w:tc>
      </w:tr>
    </w:tbl>
    <w:p>
      <w:r>
        <w:br w:type="page"/>
      </w:r>
    </w:p>
    <w:p>
      <w:pPr>
        <w:pStyle w:val="Heading1"/>
        <w:spacing w:after="160" w:before="280"/>
      </w:pPr>
      <w:r>
        <w:t xml:space="preserve">4. Technology Stack (as implemented)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B3A6B" w:val="clear"/>
            <w:tcMar>
              <w:top w:type="dxa" w:w="100"/>
              <w:left w:type="dxa" w:w="120"/>
              <w:bottom w:type="dxa" w:w="100"/>
              <w:right w:type="dxa" w:w="120"/>
            </w:tcMar>
            <w:vAlign w:val="center"/>
          </w:tcPr>
          <w:p>
            <w:pPr>
              <w:jc w:val="left"/>
            </w:pPr>
            <w:r>
              <w:rPr>
                <w:b/>
                <w:bCs/>
                <w:color w:val="FFFFFF"/>
                <w:sz w:val="20"/>
                <w:szCs w:val="20"/>
              </w:rPr>
              <w:t xml:space="preserve">Layer</w:t>
            </w:r>
          </w:p>
        </w:tc>
        <w:tc>
          <w:tcPr>
            <w:tcW w:type="dxa" w:w="6300"/>
            <w:shd w:fill="1B3A6B" w:val="clear"/>
            <w:tcMar>
              <w:top w:type="dxa" w:w="100"/>
              <w:left w:type="dxa" w:w="120"/>
              <w:bottom w:type="dxa" w:w="100"/>
              <w:right w:type="dxa" w:w="120"/>
            </w:tcMar>
            <w:vAlign w:val="center"/>
          </w:tcPr>
          <w:p>
            <w:pPr>
              <w:jc w:val="left"/>
            </w:pPr>
            <w:r>
              <w:rPr>
                <w:b/>
                <w:bCs/>
                <w:color w:val="FFFFFF"/>
                <w:sz w:val="20"/>
                <w:szCs w:val="20"/>
              </w:rPr>
              <w:t xml:space="preserve">Technology</w:t>
            </w:r>
          </w:p>
        </w:tc>
      </w:tr>
      <w:tr>
        <w:tc>
          <w:tcPr>
            <w:tcW w:type="dxa" w:w="3200"/>
            <w:tcMar>
              <w:top w:type="dxa" w:w="100"/>
              <w:left w:type="dxa" w:w="120"/>
              <w:bottom w:type="dxa" w:w="100"/>
              <w:right w:type="dxa" w:w="120"/>
            </w:tcMar>
            <w:vAlign w:val="center"/>
          </w:tcPr>
          <w:p>
            <w:pPr>
              <w:jc w:val="left"/>
            </w:pPr>
            <w:r>
              <w:rPr>
                <w:b w:val="false"/>
                <w:bCs w:val="false"/>
                <w:color w:val="000000"/>
                <w:sz w:val="20"/>
                <w:szCs w:val="20"/>
              </w:rPr>
              <w:t xml:space="preserve">Frontend framework</w:t>
            </w:r>
          </w:p>
        </w:tc>
        <w:tc>
          <w:tcPr>
            <w:tcW w:type="dxa" w:w="6300"/>
            <w:tcMar>
              <w:top w:type="dxa" w:w="100"/>
              <w:left w:type="dxa" w:w="120"/>
              <w:bottom w:type="dxa" w:w="100"/>
              <w:right w:type="dxa" w:w="120"/>
            </w:tcMar>
            <w:vAlign w:val="center"/>
          </w:tcPr>
          <w:p>
            <w:pPr>
              <w:jc w:val="left"/>
            </w:pPr>
            <w:r>
              <w:rPr>
                <w:b w:val="false"/>
                <w:bCs w:val="false"/>
                <w:color w:val="000000"/>
                <w:sz w:val="20"/>
                <w:szCs w:val="20"/>
              </w:rPr>
              <w:t xml:space="preserve">Flutter 3.44 / Dart 3, Material 3</w:t>
            </w:r>
          </w:p>
        </w:tc>
      </w:tr>
      <w:tr>
        <w:tc>
          <w:tcPr>
            <w:tcW w:type="dxa" w:w="32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State management</w:t>
            </w:r>
          </w:p>
        </w:tc>
        <w:tc>
          <w:tcPr>
            <w:tcW w:type="dxa" w:w="63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Provider (ChangeNotifier-based single AppState)</w:t>
            </w:r>
          </w:p>
        </w:tc>
      </w:tr>
      <w:tr>
        <w:tc>
          <w:tcPr>
            <w:tcW w:type="dxa" w:w="3200"/>
            <w:tcMar>
              <w:top w:type="dxa" w:w="100"/>
              <w:left w:type="dxa" w:w="120"/>
              <w:bottom w:type="dxa" w:w="100"/>
              <w:right w:type="dxa" w:w="120"/>
            </w:tcMar>
            <w:vAlign w:val="center"/>
          </w:tcPr>
          <w:p>
            <w:pPr>
              <w:jc w:val="left"/>
            </w:pPr>
            <w:r>
              <w:rPr>
                <w:b w:val="false"/>
                <w:bCs w:val="false"/>
                <w:color w:val="000000"/>
                <w:sz w:val="20"/>
                <w:szCs w:val="20"/>
              </w:rPr>
              <w:t xml:space="preserve">Current data layer</w:t>
            </w:r>
          </w:p>
        </w:tc>
        <w:tc>
          <w:tcPr>
            <w:tcW w:type="dxa" w:w="6300"/>
            <w:tcMar>
              <w:top w:type="dxa" w:w="100"/>
              <w:left w:type="dxa" w:w="120"/>
              <w:bottom w:type="dxa" w:w="100"/>
              <w:right w:type="dxa" w:w="120"/>
            </w:tcMar>
            <w:vAlign w:val="center"/>
          </w:tcPr>
          <w:p>
            <w:pPr>
              <w:jc w:val="left"/>
            </w:pPr>
            <w:r>
              <w:rPr>
                <w:b w:val="false"/>
                <w:bCs w:val="false"/>
                <w:color w:val="000000"/>
                <w:sz w:val="20"/>
                <w:szCs w:val="20"/>
              </w:rPr>
              <w:t xml:space="preserve">In-memory repository pattern (DataRepository interface), seeded with sample data</w:t>
            </w:r>
          </w:p>
        </w:tc>
      </w:tr>
      <w:tr>
        <w:tc>
          <w:tcPr>
            <w:tcW w:type="dxa" w:w="32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Auth (current)</w:t>
            </w:r>
          </w:p>
        </w:tc>
        <w:tc>
          <w:tcPr>
            <w:tcW w:type="dxa" w:w="63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Mocked phone/OTP (AuthService interface, swappable for FirebaseAuth)</w:t>
            </w:r>
          </w:p>
        </w:tc>
      </w:tr>
      <w:tr>
        <w:tc>
          <w:tcPr>
            <w:tcW w:type="dxa" w:w="3200"/>
            <w:tcMar>
              <w:top w:type="dxa" w:w="100"/>
              <w:left w:type="dxa" w:w="120"/>
              <w:bottom w:type="dxa" w:w="100"/>
              <w:right w:type="dxa" w:w="120"/>
            </w:tcMar>
            <w:vAlign w:val="center"/>
          </w:tcPr>
          <w:p>
            <w:pPr>
              <w:jc w:val="left"/>
            </w:pPr>
            <w:r>
              <w:rPr>
                <w:b w:val="false"/>
                <w:bCs w:val="false"/>
                <w:color w:val="000000"/>
                <w:sz w:val="20"/>
                <w:szCs w:val="20"/>
              </w:rPr>
              <w:t xml:space="preserve">Calendar UI</w:t>
            </w:r>
          </w:p>
        </w:tc>
        <w:tc>
          <w:tcPr>
            <w:tcW w:type="dxa" w:w="6300"/>
            <w:tcMar>
              <w:top w:type="dxa" w:w="100"/>
              <w:left w:type="dxa" w:w="120"/>
              <w:bottom w:type="dxa" w:w="100"/>
              <w:right w:type="dxa" w:w="120"/>
            </w:tcMar>
            <w:vAlign w:val="center"/>
          </w:tcPr>
          <w:p>
            <w:pPr>
              <w:jc w:val="left"/>
            </w:pPr>
            <w:r>
              <w:rPr>
                <w:b w:val="false"/>
                <w:bCs w:val="false"/>
                <w:color w:val="000000"/>
                <w:sz w:val="20"/>
                <w:szCs w:val="20"/>
              </w:rPr>
              <w:t xml:space="preserve">table_calendar</w:t>
            </w:r>
          </w:p>
        </w:tc>
      </w:tr>
      <w:tr>
        <w:tc>
          <w:tcPr>
            <w:tcW w:type="dxa" w:w="32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OTP input UI</w:t>
            </w:r>
          </w:p>
        </w:tc>
        <w:tc>
          <w:tcPr>
            <w:tcW w:type="dxa" w:w="63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pin_code_fields</w:t>
            </w:r>
          </w:p>
        </w:tc>
      </w:tr>
      <w:tr>
        <w:tc>
          <w:tcPr>
            <w:tcW w:type="dxa" w:w="3200"/>
            <w:tcMar>
              <w:top w:type="dxa" w:w="100"/>
              <w:left w:type="dxa" w:w="120"/>
              <w:bottom w:type="dxa" w:w="100"/>
              <w:right w:type="dxa" w:w="120"/>
            </w:tcMar>
            <w:vAlign w:val="center"/>
          </w:tcPr>
          <w:p>
            <w:pPr>
              <w:jc w:val="left"/>
            </w:pPr>
            <w:r>
              <w:rPr>
                <w:b w:val="false"/>
                <w:bCs w:val="false"/>
                <w:color w:val="000000"/>
                <w:sz w:val="20"/>
                <w:szCs w:val="20"/>
              </w:rPr>
              <w:t xml:space="preserve">Phone dialer</w:t>
            </w:r>
          </w:p>
        </w:tc>
        <w:tc>
          <w:tcPr>
            <w:tcW w:type="dxa" w:w="6300"/>
            <w:tcMar>
              <w:top w:type="dxa" w:w="100"/>
              <w:left w:type="dxa" w:w="120"/>
              <w:bottom w:type="dxa" w:w="100"/>
              <w:right w:type="dxa" w:w="120"/>
            </w:tcMar>
            <w:vAlign w:val="center"/>
          </w:tcPr>
          <w:p>
            <w:pPr>
              <w:jc w:val="left"/>
            </w:pPr>
            <w:r>
              <w:rPr>
                <w:b w:val="false"/>
                <w:bCs w:val="false"/>
                <w:color w:val="000000"/>
                <w:sz w:val="20"/>
                <w:szCs w:val="20"/>
              </w:rPr>
              <w:t xml:space="preserve">url_launcher</w:t>
            </w:r>
          </w:p>
        </w:tc>
      </w:tr>
      <w:tr>
        <w:tc>
          <w:tcPr>
            <w:tcW w:type="dxa" w:w="32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QR generation</w:t>
            </w:r>
          </w:p>
        </w:tc>
        <w:tc>
          <w:tcPr>
            <w:tcW w:type="dxa" w:w="63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qr_flutter</w:t>
            </w:r>
          </w:p>
        </w:tc>
      </w:tr>
      <w:tr>
        <w:tc>
          <w:tcPr>
            <w:tcW w:type="dxa" w:w="3200"/>
            <w:tcMar>
              <w:top w:type="dxa" w:w="100"/>
              <w:left w:type="dxa" w:w="120"/>
              <w:bottom w:type="dxa" w:w="100"/>
              <w:right w:type="dxa" w:w="120"/>
            </w:tcMar>
            <w:vAlign w:val="center"/>
          </w:tcPr>
          <w:p>
            <w:pPr>
              <w:jc w:val="left"/>
            </w:pPr>
            <w:r>
              <w:rPr>
                <w:b w:val="false"/>
                <w:bCs w:val="false"/>
                <w:color w:val="000000"/>
                <w:sz w:val="20"/>
                <w:szCs w:val="20"/>
              </w:rPr>
              <w:t xml:space="preserve">QR / barcode scanning</w:t>
            </w:r>
          </w:p>
        </w:tc>
        <w:tc>
          <w:tcPr>
            <w:tcW w:type="dxa" w:w="6300"/>
            <w:tcMar>
              <w:top w:type="dxa" w:w="100"/>
              <w:left w:type="dxa" w:w="120"/>
              <w:bottom w:type="dxa" w:w="100"/>
              <w:right w:type="dxa" w:w="120"/>
            </w:tcMar>
            <w:vAlign w:val="center"/>
          </w:tcPr>
          <w:p>
            <w:pPr>
              <w:jc w:val="left"/>
            </w:pPr>
            <w:r>
              <w:rPr>
                <w:b w:val="false"/>
                <w:bCs w:val="false"/>
                <w:color w:val="000000"/>
                <w:sz w:val="20"/>
                <w:szCs w:val="20"/>
              </w:rPr>
              <w:t xml:space="preserve">mobile_scanner (CameraX on Android, AVFoundation on iOS, ZXing on web)</w:t>
            </w:r>
          </w:p>
        </w:tc>
      </w:tr>
      <w:tr>
        <w:tc>
          <w:tcPr>
            <w:tcW w:type="dxa" w:w="32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Geolocation</w:t>
            </w:r>
          </w:p>
        </w:tc>
        <w:tc>
          <w:tcPr>
            <w:tcW w:type="dxa" w:w="63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geolocator (device GPS; Haversine distance computed in-app)</w:t>
            </w:r>
          </w:p>
        </w:tc>
      </w:tr>
      <w:tr>
        <w:tc>
          <w:tcPr>
            <w:tcW w:type="dxa" w:w="3200"/>
            <w:tcMar>
              <w:top w:type="dxa" w:w="100"/>
              <w:left w:type="dxa" w:w="120"/>
              <w:bottom w:type="dxa" w:w="100"/>
              <w:right w:type="dxa" w:w="120"/>
            </w:tcMar>
            <w:vAlign w:val="center"/>
          </w:tcPr>
          <w:p>
            <w:pPr>
              <w:jc w:val="left"/>
            </w:pPr>
            <w:r>
              <w:rPr>
                <w:b w:val="false"/>
                <w:bCs w:val="false"/>
                <w:color w:val="000000"/>
                <w:sz w:val="20"/>
                <w:szCs w:val="20"/>
              </w:rPr>
              <w:t xml:space="preserve">Social sharing</w:t>
            </w:r>
          </w:p>
        </w:tc>
        <w:tc>
          <w:tcPr>
            <w:tcW w:type="dxa" w:w="6300"/>
            <w:tcMar>
              <w:top w:type="dxa" w:w="100"/>
              <w:left w:type="dxa" w:w="120"/>
              <w:bottom w:type="dxa" w:w="100"/>
              <w:right w:type="dxa" w:w="120"/>
            </w:tcMar>
            <w:vAlign w:val="center"/>
          </w:tcPr>
          <w:p>
            <w:pPr>
              <w:jc w:val="left"/>
            </w:pPr>
            <w:r>
              <w:rPr>
                <w:b w:val="false"/>
                <w:bCs w:val="false"/>
                <w:color w:val="000000"/>
                <w:sz w:val="20"/>
                <w:szCs w:val="20"/>
              </w:rPr>
              <w:t xml:space="preserve">share_plus (native share sheet for referral invites)</w:t>
            </w:r>
          </w:p>
        </w:tc>
      </w:tr>
      <w:tr>
        <w:tc>
          <w:tcPr>
            <w:tcW w:type="dxa" w:w="32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Unique IDs</w:t>
            </w:r>
          </w:p>
        </w:tc>
        <w:tc>
          <w:tcPr>
            <w:tcW w:type="dxa" w:w="63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uuid</w:t>
            </w:r>
          </w:p>
        </w:tc>
      </w:tr>
      <w:tr>
        <w:tc>
          <w:tcPr>
            <w:tcW w:type="dxa" w:w="3200"/>
            <w:tcMar>
              <w:top w:type="dxa" w:w="100"/>
              <w:left w:type="dxa" w:w="120"/>
              <w:bottom w:type="dxa" w:w="100"/>
              <w:right w:type="dxa" w:w="120"/>
            </w:tcMar>
            <w:vAlign w:val="center"/>
          </w:tcPr>
          <w:p>
            <w:pPr>
              <w:jc w:val="left"/>
            </w:pPr>
            <w:r>
              <w:rPr>
                <w:b w:val="false"/>
                <w:bCs w:val="false"/>
                <w:color w:val="000000"/>
                <w:sz w:val="20"/>
                <w:szCs w:val="20"/>
              </w:rPr>
              <w:t xml:space="preserve">Date/time formatting</w:t>
            </w:r>
          </w:p>
        </w:tc>
        <w:tc>
          <w:tcPr>
            <w:tcW w:type="dxa" w:w="6300"/>
            <w:tcMar>
              <w:top w:type="dxa" w:w="100"/>
              <w:left w:type="dxa" w:w="120"/>
              <w:bottom w:type="dxa" w:w="100"/>
              <w:right w:type="dxa" w:w="120"/>
            </w:tcMar>
            <w:vAlign w:val="center"/>
          </w:tcPr>
          <w:p>
            <w:pPr>
              <w:jc w:val="left"/>
            </w:pPr>
            <w:r>
              <w:rPr>
                <w:b w:val="false"/>
                <w:bCs w:val="false"/>
                <w:color w:val="000000"/>
                <w:sz w:val="20"/>
                <w:szCs w:val="20"/>
              </w:rPr>
              <w:t xml:space="preserve">intl</w:t>
            </w:r>
          </w:p>
        </w:tc>
      </w:tr>
      <w:tr>
        <w:tc>
          <w:tcPr>
            <w:tcW w:type="dxa" w:w="32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Target platforms</w:t>
            </w:r>
          </w:p>
        </w:tc>
        <w:tc>
          <w:tcPr>
            <w:tcW w:type="dxa" w:w="63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Android, iOS, Web (Chrome), Windows desktop</w:t>
            </w:r>
          </w:p>
        </w:tc>
      </w:tr>
      <w:tr>
        <w:tc>
          <w:tcPr>
            <w:tcW w:type="dxa" w:w="3200"/>
            <w:tcMar>
              <w:top w:type="dxa" w:w="100"/>
              <w:left w:type="dxa" w:w="120"/>
              <w:bottom w:type="dxa" w:w="100"/>
              <w:right w:type="dxa" w:w="120"/>
            </w:tcMar>
            <w:vAlign w:val="center"/>
          </w:tcPr>
          <w:p>
            <w:pPr>
              <w:jc w:val="left"/>
            </w:pPr>
            <w:r>
              <w:rPr>
                <w:b w:val="false"/>
                <w:bCs w:val="false"/>
                <w:color w:val="000000"/>
                <w:sz w:val="20"/>
                <w:szCs w:val="20"/>
              </w:rPr>
              <w:t xml:space="preserve">Planned production backend</w:t>
            </w:r>
          </w:p>
        </w:tc>
        <w:tc>
          <w:tcPr>
            <w:tcW w:type="dxa" w:w="6300"/>
            <w:tcMar>
              <w:top w:type="dxa" w:w="100"/>
              <w:left w:type="dxa" w:w="120"/>
              <w:bottom w:type="dxa" w:w="100"/>
              <w:right w:type="dxa" w:w="120"/>
            </w:tcMar>
            <w:vAlign w:val="center"/>
          </w:tcPr>
          <w:p>
            <w:pPr>
              <w:jc w:val="left"/>
            </w:pPr>
            <w:r>
              <w:rPr>
                <w:b w:val="false"/>
                <w:bCs w:val="false"/>
                <w:color w:val="000000"/>
                <w:sz w:val="20"/>
                <w:szCs w:val="20"/>
              </w:rPr>
              <w:t xml:space="preserve">Firebase (Auth, Firestore, Cloud Functions, Cloud Messaging) — integration path documented in the project README</w:t>
            </w:r>
          </w:p>
        </w:tc>
      </w:tr>
    </w:tbl>
    <w:p>
      <w:pPr>
        <w:pStyle w:val="Heading1"/>
        <w:spacing w:after="160" w:before="280"/>
      </w:pPr>
      <w:r>
        <w:t xml:space="preserve">5. Core Data Model (as implemented)</w:t>
      </w:r>
    </w:p>
    <w:p>
      <w:pPr>
        <w:pStyle w:val="ListParagraph"/>
        <w:numPr>
          <w:ilvl w:val="0"/>
          <w:numId w:val="2"/>
        </w:numPr>
        <w:spacing w:after="90"/>
      </w:pPr>
      <w:r>
        <w:rPr>
          <w:b/>
          <w:bCs/>
          <w:sz w:val="22"/>
          <w:szCs w:val="22"/>
        </w:rPr>
        <w:t xml:space="preserve">Donor: id, name, phone, bloodGroup, city, dob, gender, lastDonationDate, isVerified, isAdmin, latitude, longitude, referralCode, referredByCode</w:t>
      </w:r>
    </w:p>
    <w:p>
      <w:pPr>
        <w:pStyle w:val="ListParagraph"/>
        <w:numPr>
          <w:ilvl w:val="0"/>
          <w:numId w:val="2"/>
        </w:numPr>
        <w:spacing w:after="90"/>
      </w:pPr>
      <w:r>
        <w:rPr>
          <w:b w:val="false"/>
          <w:bCs w:val="false"/>
          <w:sz w:val="22"/>
          <w:szCs w:val="22"/>
        </w:rPr>
        <w:t xml:space="preserve">BloodEvent: id, title, organizer, venue, startDateTime, endDateTime, capacity, registeredDonorIds[], latitude, longitude</w:t>
      </w:r>
    </w:p>
    <w:p>
      <w:pPr>
        <w:pStyle w:val="ListParagraph"/>
        <w:numPr>
          <w:ilvl w:val="0"/>
          <w:numId w:val="2"/>
        </w:numPr>
        <w:spacing w:after="90"/>
      </w:pPr>
      <w:r>
        <w:rPr>
          <w:b w:val="false"/>
          <w:bCs w:val="false"/>
          <w:sz w:val="22"/>
          <w:szCs w:val="22"/>
        </w:rPr>
        <w:t xml:space="preserve">DonationRecord: id, donorId, eventId, donationDate, unitsMl, verifiedBy</w:t>
      </w:r>
    </w:p>
    <w:p>
      <w:pPr>
        <w:pStyle w:val="ListParagraph"/>
        <w:numPr>
          <w:ilvl w:val="0"/>
          <w:numId w:val="2"/>
        </w:numPr>
        <w:spacing w:after="90"/>
      </w:pPr>
      <w:r>
        <w:rPr>
          <w:b w:val="false"/>
          <w:bCs w:val="false"/>
          <w:sz w:val="22"/>
          <w:szCs w:val="22"/>
        </w:rPr>
        <w:t xml:space="preserve">BloodRequest: id, requesterName, requesterPhone, bloodGroup, unitsNeeded, hospital, city, urgency, status, matchedDonorIds[], createdAt, latitude, longitude</w:t>
      </w:r>
    </w:p>
    <w:p>
      <w:pPr>
        <w:pStyle w:val="ListParagraph"/>
        <w:numPr>
          <w:ilvl w:val="0"/>
          <w:numId w:val="2"/>
        </w:numPr>
        <w:spacing w:after="90"/>
      </w:pPr>
      <w:r>
        <w:rPr>
          <w:b w:val="false"/>
          <w:bCs w:val="false"/>
          <w:sz w:val="22"/>
          <w:szCs w:val="22"/>
        </w:rPr>
        <w:t xml:space="preserve">DonorMatch: donor, distanceKm — pairs a matched donor with their computed distance from a request</w:t>
      </w:r>
    </w:p>
    <w:p>
      <w:pPr>
        <w:pStyle w:val="ListParagraph"/>
        <w:numPr>
          <w:ilvl w:val="0"/>
          <w:numId w:val="2"/>
        </w:numPr>
        <w:spacing w:after="90"/>
      </w:pPr>
      <w:r>
        <w:rPr>
          <w:b w:val="false"/>
          <w:bCs w:val="false"/>
          <w:sz w:val="22"/>
          <w:szCs w:val="22"/>
        </w:rPr>
        <w:t xml:space="preserve">AppNotification: id, recipientDonorId, type, title, body, createdAt, isRead</w:t>
      </w:r>
    </w:p>
    <w:p>
      <w:pPr>
        <w:pStyle w:val="ListParagraph"/>
        <w:numPr>
          <w:ilvl w:val="0"/>
          <w:numId w:val="2"/>
        </w:numPr>
        <w:spacing w:after="90"/>
      </w:pPr>
      <w:r>
        <w:rPr>
          <w:b w:val="false"/>
          <w:bCs w:val="false"/>
          <w:sz w:val="22"/>
          <w:szCs w:val="22"/>
        </w:rPr>
        <w:t xml:space="preserve">MilestoneBadge: name, threshold, icon, color — shared structure for both donation and referral badge tiers</w:t>
      </w:r>
    </w:p>
    <w:p>
      <w:r>
        <w:br w:type="page"/>
      </w:r>
    </w:p>
    <w:p>
      <w:pPr>
        <w:pStyle w:val="Heading1"/>
        <w:spacing w:after="160" w:before="280"/>
      </w:pPr>
      <w:r>
        <w:t xml:space="preserve">6. Key Business Rules &amp; Design Decisions</w:t>
      </w:r>
    </w:p>
    <w:p>
      <w:pPr>
        <w:spacing w:after="160" w:line="300"/>
      </w:pPr>
      <w:r>
        <w:rPr>
          <w:sz w:val="22"/>
          <w:szCs w:val="22"/>
        </w:rPr>
        <w:t xml:space="preserve">Donation eligibility: a donor becomes eligible again only 90 days after their last donation (WHO/NBTC standard gap for whole blood). This gates both self-service donation logging and the emergency-matching ranking.</w:t>
      </w:r>
    </w:p>
    <w:p>
      <w:pPr>
        <w:spacing w:after="160" w:line="300"/>
      </w:pPr>
      <w:r>
        <w:rPr>
          <w:sz w:val="22"/>
          <w:szCs w:val="22"/>
        </w:rPr>
        <w:t xml:space="preserve">Blood-group compatibility: a standard donor-to-recipient compatibility chart determines which blood groups may donate to a given request (e.g. O- is the universal donor, AB+ the universal recipient) before any ranking is applied.</w:t>
      </w:r>
    </w:p>
    <w:p>
      <w:pPr>
        <w:spacing w:after="160" w:line="300"/>
      </w:pPr>
      <w:r>
        <w:rPr>
          <w:sz w:val="22"/>
          <w:szCs w:val="22"/>
        </w:rPr>
        <w:t xml:space="preserve">Distance-aware matching: when both a request and a candidate donor have GPS coordinates, donors are ranked by real Haversine-computed distance; when coordinates are unavailable on either side, the system falls back to same-city string matching so the feature degrades gracefully rather than failing.</w:t>
      </w:r>
    </w:p>
    <w:p>
      <w:pPr>
        <w:spacing w:after="160" w:line="300"/>
      </w:pPr>
      <w:r>
        <w:rPr>
          <w:sz w:val="22"/>
          <w:szCs w:val="22"/>
        </w:rPr>
        <w:t xml:space="preserve">Verification integrity: a donation record always states who actually verified it — “Self-reported” for donor-logged entries, or “Verified by &lt;Admin Name&gt;” for coordinator-confirmed entries — so the history can never misrepresent an unverified donation as verified.</w:t>
      </w:r>
    </w:p>
    <w:p>
      <w:pPr>
        <w:spacing w:after="160" w:line="300"/>
      </w:pPr>
      <w:r>
        <w:rPr>
          <w:sz w:val="22"/>
          <w:szCs w:val="22"/>
        </w:rPr>
        <w:t xml:space="preserve">Admin safety check: confirming a donation (via the Verify Donations tab or the QR Check-In flow) for a donor who is not yet 90 days past their last donation triggers an explicit warning dialog before proceeding, to prevent silently corrupting eligibility data.</w:t>
      </w:r>
    </w:p>
    <w:p>
      <w:pPr>
        <w:spacing w:after="160" w:line="300"/>
      </w:pPr>
      <w:r>
        <w:rPr>
          <w:sz w:val="22"/>
          <w:szCs w:val="22"/>
        </w:rPr>
        <w:t xml:space="preserve">QR payload namespacing: each donor's QR code is prefixed (raktsetu:donor:&lt;id&gt;) so the Check-In scanner can reject an unrelated QR code instead of misinterpreting it as a donor ID.</w:t>
      </w:r>
    </w:p>
    <w:p>
      <w:pPr>
        <w:spacing w:after="160" w:line="300"/>
      </w:pPr>
      <w:r>
        <w:rPr>
          <w:sz w:val="22"/>
          <w:szCs w:val="22"/>
        </w:rPr>
        <w:t xml:space="preserve">Referral code determinism: referral codes are derived directly from each donor's unique id, so they can never collide and never require a separate uniqueness check against the donor list.</w:t>
      </w:r>
    </w:p>
    <w:p>
      <w:pPr>
        <w:spacing w:after="160" w:line="300"/>
      </w:pPr>
      <w:r>
        <w:rPr>
          <w:sz w:val="22"/>
          <w:szCs w:val="22"/>
        </w:rPr>
        <w:t xml:space="preserve">In-app notification model: since no push-notification backend is wired up yet, notifications are written to a per-donor inbox at the moment they are triggered and appear immediately for the currently signed-in user, or on that donor's next login otherwise — the same “eventually delivered” pattern that a real push backend would ultimately replace (see §9).</w:t>
      </w:r>
    </w:p>
    <w:p>
      <w:pPr>
        <w:pStyle w:val="Heading1"/>
        <w:spacing w:after="160" w:before="280"/>
      </w:pPr>
      <w:r>
        <w:t xml:space="preserve">7. Native Platform Permissions</w:t>
      </w:r>
    </w:p>
    <w:p>
      <w:pPr>
        <w:spacing w:after="160" w:line="300"/>
      </w:pPr>
      <w:r>
        <w:rPr>
          <w:sz w:val="22"/>
          <w:szCs w:val="22"/>
        </w:rPr>
        <w:t xml:space="preserve">Camera access (for QR scanning) and location access (for GPS-based matching) required explicit platform permission entries:</w:t>
      </w:r>
    </w:p>
    <w:p>
      <w:pPr>
        <w:pStyle w:val="ListParagraph"/>
        <w:numPr>
          <w:ilvl w:val="0"/>
          <w:numId w:val="2"/>
        </w:numPr>
        <w:spacing w:after="90"/>
      </w:pPr>
      <w:r>
        <w:rPr>
          <w:b w:val="false"/>
          <w:bCs w:val="false"/>
          <w:sz w:val="22"/>
          <w:szCs w:val="22"/>
        </w:rPr>
        <w:t xml:space="preserve">Android (AndroidManifest.xml): CAMERA, ACCESS_FINE_LOCATION, ACCESS_COARSE_LOCATION, plus a &lt;queries&gt; entry so the tel: dialer intent resolves reliably on Android 11+.</w:t>
      </w:r>
    </w:p>
    <w:p>
      <w:pPr>
        <w:pStyle w:val="ListParagraph"/>
        <w:numPr>
          <w:ilvl w:val="0"/>
          <w:numId w:val="2"/>
        </w:numPr>
        <w:spacing w:after="90"/>
      </w:pPr>
      <w:r>
        <w:rPr>
          <w:b w:val="false"/>
          <w:bCs w:val="false"/>
          <w:sz w:val="22"/>
          <w:szCs w:val="22"/>
        </w:rPr>
        <w:t xml:space="preserve">iOS (Info.plist): NSCameraUsageDescription, NSLocationWhenInUseUsageDescription.</w:t>
      </w:r>
    </w:p>
    <w:p>
      <w:pPr>
        <w:spacing w:after="160" w:line="300"/>
      </w:pPr>
      <w:r>
        <w:rPr>
          <w:sz w:val="22"/>
          <w:szCs w:val="22"/>
        </w:rPr>
        <w:t xml:space="preserve">Both features degrade gracefully when permission is denied — the Check-In flow falls back to manual phone-number lookup, and matching falls back to city-name comparison — rather than crashing the app.</w:t>
      </w:r>
    </w:p>
    <w:p>
      <w:r>
        <w:br w:type="page"/>
      </w:r>
    </w:p>
    <w:p>
      <w:pPr>
        <w:pStyle w:val="Heading1"/>
        <w:spacing w:after="160" w:before="280"/>
      </w:pPr>
      <w:r>
        <w:t xml:space="preserve">8. Codebase Audit — Findings &amp; Resolutions</w:t>
      </w:r>
    </w:p>
    <w:p>
      <w:pPr>
        <w:spacing w:after="160" w:line="300"/>
      </w:pPr>
      <w:r>
        <w:rPr>
          <w:sz w:val="22"/>
          <w:szCs w:val="22"/>
        </w:rPr>
        <w:t xml:space="preserve">The codebase was audited in multiple passes across development. Every issue identified was fixed in the same session it was found; none were left open silently. A summary: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4400"/>
        <w:gridCol w:w="4400"/>
      </w:tblGrid>
      <w:tr>
        <w:trPr>
          <w:tblHeader/>
        </w:trPr>
        <w:tc>
          <w:tcPr>
            <w:tcW w:type="dxa" w:w="500"/>
            <w:shd w:fill="1B3A6B" w:val="clear"/>
            <w:tcMar>
              <w:top w:type="dxa" w:w="100"/>
              <w:left w:type="dxa" w:w="120"/>
              <w:bottom w:type="dxa" w:w="100"/>
              <w:right w:type="dxa" w:w="120"/>
            </w:tcMar>
            <w:vAlign w:val="center"/>
          </w:tcPr>
          <w:p>
            <w:pPr>
              <w:jc w:val="left"/>
            </w:pPr>
            <w:r>
              <w:rPr>
                <w:b/>
                <w:bCs/>
                <w:color w:val="FFFFFF"/>
                <w:sz w:val="20"/>
                <w:szCs w:val="20"/>
              </w:rPr>
              <w:t xml:space="preserve">#</w:t>
            </w:r>
          </w:p>
        </w:tc>
        <w:tc>
          <w:tcPr>
            <w:tcW w:type="dxa" w:w="4400"/>
            <w:shd w:fill="1B3A6B" w:val="clear"/>
            <w:tcMar>
              <w:top w:type="dxa" w:w="100"/>
              <w:left w:type="dxa" w:w="120"/>
              <w:bottom w:type="dxa" w:w="100"/>
              <w:right w:type="dxa" w:w="120"/>
            </w:tcMar>
            <w:vAlign w:val="center"/>
          </w:tcPr>
          <w:p>
            <w:pPr>
              <w:jc w:val="left"/>
            </w:pPr>
            <w:r>
              <w:rPr>
                <w:b/>
                <w:bCs/>
                <w:color w:val="FFFFFF"/>
                <w:sz w:val="20"/>
                <w:szCs w:val="20"/>
              </w:rPr>
              <w:t xml:space="preserve">Issue Found</w:t>
            </w:r>
          </w:p>
        </w:tc>
        <w:tc>
          <w:tcPr>
            <w:tcW w:type="dxa" w:w="4400"/>
            <w:shd w:fill="1B3A6B" w:val="clear"/>
            <w:tcMar>
              <w:top w:type="dxa" w:w="100"/>
              <w:left w:type="dxa" w:w="120"/>
              <w:bottom w:type="dxa" w:w="100"/>
              <w:right w:type="dxa" w:w="120"/>
            </w:tcMar>
            <w:vAlign w:val="center"/>
          </w:tcPr>
          <w:p>
            <w:pPr>
              <w:jc w:val="left"/>
            </w:pPr>
            <w:r>
              <w:rPr>
                <w:b/>
                <w:bCs/>
                <w:color w:val="FFFFFF"/>
                <w:sz w:val="20"/>
                <w:szCs w:val="20"/>
              </w:rPr>
              <w:t xml:space="preserve">Resolution</w:t>
            </w:r>
          </w:p>
        </w:tc>
      </w:tr>
      <w:tr>
        <w:tc>
          <w:tcPr>
            <w:tcW w:type="dxa" w:w="500"/>
            <w:tcMar>
              <w:top w:type="dxa" w:w="100"/>
              <w:left w:type="dxa" w:w="120"/>
              <w:bottom w:type="dxa" w:w="100"/>
              <w:right w:type="dxa" w:w="120"/>
            </w:tcMar>
            <w:vAlign w:val="center"/>
          </w:tcPr>
          <w:p>
            <w:pPr>
              <w:jc w:val="left"/>
            </w:pPr>
            <w:r>
              <w:rPr>
                <w:b w:val="false"/>
                <w:bCs w:val="false"/>
                <w:color w:val="000000"/>
                <w:sz w:val="20"/>
                <w:szCs w:val="20"/>
              </w:rPr>
              <w:t xml:space="preserve">1</w:t>
            </w:r>
          </w:p>
        </w:tc>
        <w:tc>
          <w:tcPr>
            <w:tcW w:type="dxa" w:w="4400"/>
            <w:tcMar>
              <w:top w:type="dxa" w:w="100"/>
              <w:left w:type="dxa" w:w="120"/>
              <w:bottom w:type="dxa" w:w="100"/>
              <w:right w:type="dxa" w:w="120"/>
            </w:tcMar>
            <w:vAlign w:val="center"/>
          </w:tcPr>
          <w:p>
            <w:pPr>
              <w:jc w:val="left"/>
            </w:pPr>
            <w:r>
              <w:rPr>
                <w:b w:val="false"/>
                <w:bCs w:val="false"/>
                <w:color w:val="000000"/>
                <w:sz w:val="20"/>
                <w:szCs w:val="20"/>
              </w:rPr>
              <w:t xml:space="preserve">Emergency-request “call donor” button was a non-functional stub.</w:t>
            </w:r>
          </w:p>
        </w:tc>
        <w:tc>
          <w:tcPr>
            <w:tcW w:type="dxa" w:w="4400"/>
            <w:tcMar>
              <w:top w:type="dxa" w:w="100"/>
              <w:left w:type="dxa" w:w="120"/>
              <w:bottom w:type="dxa" w:w="100"/>
              <w:right w:type="dxa" w:w="120"/>
            </w:tcMar>
            <w:vAlign w:val="center"/>
          </w:tcPr>
          <w:p>
            <w:pPr>
              <w:jc w:val="left"/>
            </w:pPr>
            <w:r>
              <w:rPr>
                <w:b w:val="false"/>
                <w:bCs w:val="false"/>
                <w:color w:val="000000"/>
                <w:sz w:val="20"/>
                <w:szCs w:val="20"/>
              </w:rPr>
              <w:t xml:space="preserve">Wired to url_launcher to open the phone dialer with the matched donor's number, with a graceful fallback message if the dialer can't be opened.</w:t>
            </w:r>
          </w:p>
        </w:tc>
      </w:tr>
      <w:tr>
        <w:tc>
          <w:tcPr>
            <w:tcW w:type="dxa" w:w="5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2</w:t>
            </w:r>
          </w:p>
        </w:tc>
        <w:tc>
          <w:tcPr>
            <w:tcW w:type="dxa" w:w="44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Self-logged donations were mislabelled “Verified by Camp Coordinator” even though no coordinator had verified them.</w:t>
            </w:r>
          </w:p>
        </w:tc>
        <w:tc>
          <w:tcPr>
            <w:tcW w:type="dxa" w:w="44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Donation records now correctly distinguish Self-reported vs Verified by &lt;Admin Name&gt;.</w:t>
            </w:r>
          </w:p>
        </w:tc>
      </w:tr>
      <w:tr>
        <w:tc>
          <w:tcPr>
            <w:tcW w:type="dxa" w:w="500"/>
            <w:tcMar>
              <w:top w:type="dxa" w:w="100"/>
              <w:left w:type="dxa" w:w="120"/>
              <w:bottom w:type="dxa" w:w="100"/>
              <w:right w:type="dxa" w:w="120"/>
            </w:tcMar>
            <w:vAlign w:val="center"/>
          </w:tcPr>
          <w:p>
            <w:pPr>
              <w:jc w:val="left"/>
            </w:pPr>
            <w:r>
              <w:rPr>
                <w:b w:val="false"/>
                <w:bCs w:val="false"/>
                <w:color w:val="000000"/>
                <w:sz w:val="20"/>
                <w:szCs w:val="20"/>
              </w:rPr>
              <w:t xml:space="preserve">3</w:t>
            </w:r>
          </w:p>
        </w:tc>
        <w:tc>
          <w:tcPr>
            <w:tcW w:type="dxa" w:w="4400"/>
            <w:tcMar>
              <w:top w:type="dxa" w:w="100"/>
              <w:left w:type="dxa" w:w="120"/>
              <w:bottom w:type="dxa" w:w="100"/>
              <w:right w:type="dxa" w:w="120"/>
            </w:tcMar>
            <w:vAlign w:val="center"/>
          </w:tcPr>
          <w:p>
            <w:pPr>
              <w:jc w:val="left"/>
            </w:pPr>
            <w:r>
              <w:rPr>
                <w:b w:val="false"/>
                <w:bCs w:val="false"/>
                <w:color w:val="000000"/>
                <w:sz w:val="20"/>
                <w:szCs w:val="20"/>
              </w:rPr>
              <w:t xml:space="preserve">An admin could confirm a donation for a donor who was not yet eligible, silently resetting their eligibility clock.</w:t>
            </w:r>
          </w:p>
        </w:tc>
        <w:tc>
          <w:tcPr>
            <w:tcW w:type="dxa" w:w="4400"/>
            <w:tcMar>
              <w:top w:type="dxa" w:w="100"/>
              <w:left w:type="dxa" w:w="120"/>
              <w:bottom w:type="dxa" w:w="100"/>
              <w:right w:type="dxa" w:w="120"/>
            </w:tcMar>
            <w:vAlign w:val="center"/>
          </w:tcPr>
          <w:p>
            <w:pPr>
              <w:jc w:val="left"/>
            </w:pPr>
            <w:r>
              <w:rPr>
                <w:b w:val="false"/>
                <w:bCs w:val="false"/>
                <w:color w:val="000000"/>
                <w:sz w:val="20"/>
                <w:szCs w:val="20"/>
              </w:rPr>
              <w:t xml:space="preserve">Added a confirmation dialog warning the admin before proceeding.</w:t>
            </w:r>
          </w:p>
        </w:tc>
      </w:tr>
      <w:tr>
        <w:tc>
          <w:tcPr>
            <w:tcW w:type="dxa" w:w="5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4</w:t>
            </w:r>
          </w:p>
        </w:tc>
        <w:tc>
          <w:tcPr>
            <w:tcW w:type="dxa" w:w="44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No way to remove a mistakenly created event.</w:t>
            </w:r>
          </w:p>
        </w:tc>
        <w:tc>
          <w:tcPr>
            <w:tcW w:type="dxa" w:w="44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Added event cancellation with a confirmation dialog.</w:t>
            </w:r>
          </w:p>
        </w:tc>
      </w:tr>
      <w:tr>
        <w:tc>
          <w:tcPr>
            <w:tcW w:type="dxa" w:w="500"/>
            <w:tcMar>
              <w:top w:type="dxa" w:w="100"/>
              <w:left w:type="dxa" w:w="120"/>
              <w:bottom w:type="dxa" w:w="100"/>
              <w:right w:type="dxa" w:w="120"/>
            </w:tcMar>
            <w:vAlign w:val="center"/>
          </w:tcPr>
          <w:p>
            <w:pPr>
              <w:jc w:val="left"/>
            </w:pPr>
            <w:r>
              <w:rPr>
                <w:b w:val="false"/>
                <w:bCs w:val="false"/>
                <w:color w:val="000000"/>
                <w:sz w:val="20"/>
                <w:szCs w:val="20"/>
              </w:rPr>
              <w:t xml:space="preserve">5</w:t>
            </w:r>
          </w:p>
        </w:tc>
        <w:tc>
          <w:tcPr>
            <w:tcW w:type="dxa" w:w="4400"/>
            <w:tcMar>
              <w:top w:type="dxa" w:w="100"/>
              <w:left w:type="dxa" w:w="120"/>
              <w:bottom w:type="dxa" w:w="100"/>
              <w:right w:type="dxa" w:w="120"/>
            </w:tcMar>
            <w:vAlign w:val="center"/>
          </w:tcPr>
          <w:p>
            <w:pPr>
              <w:jc w:val="left"/>
            </w:pPr>
            <w:r>
              <w:rPr>
                <w:b w:val="false"/>
                <w:bCs w:val="false"/>
                <w:color w:val="000000"/>
                <w:sz w:val="20"/>
                <w:szCs w:val="20"/>
              </w:rPr>
              <w:t xml:space="preserve">Sign-out fired immediately on a single tap.</w:t>
            </w:r>
          </w:p>
        </w:tc>
        <w:tc>
          <w:tcPr>
            <w:tcW w:type="dxa" w:w="4400"/>
            <w:tcMar>
              <w:top w:type="dxa" w:w="100"/>
              <w:left w:type="dxa" w:w="120"/>
              <w:bottom w:type="dxa" w:w="100"/>
              <w:right w:type="dxa" w:w="120"/>
            </w:tcMar>
            <w:vAlign w:val="center"/>
          </w:tcPr>
          <w:p>
            <w:pPr>
              <w:jc w:val="left"/>
            </w:pPr>
            <w:r>
              <w:rPr>
                <w:b w:val="false"/>
                <w:bCs w:val="false"/>
                <w:color w:val="000000"/>
                <w:sz w:val="20"/>
                <w:szCs w:val="20"/>
              </w:rPr>
              <w:t xml:space="preserve">Added a confirmation dialog.</w:t>
            </w:r>
          </w:p>
        </w:tc>
      </w:tr>
      <w:tr>
        <w:tc>
          <w:tcPr>
            <w:tcW w:type="dxa" w:w="5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6</w:t>
            </w:r>
          </w:p>
        </w:tc>
        <w:tc>
          <w:tcPr>
            <w:tcW w:type="dxa" w:w="44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RequestStatus.partiallyFulfilled existed in the model but was unreachable from any screen.</w:t>
            </w:r>
          </w:p>
        </w:tc>
        <w:tc>
          <w:tcPr>
            <w:tcW w:type="dxa" w:w="44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Added a “Partially Fulfilled” action in the admin Requests tab; the donor-facing Requests screen now also shows and visually fades resolved requests.</w:t>
            </w:r>
          </w:p>
        </w:tc>
      </w:tr>
      <w:tr>
        <w:tc>
          <w:tcPr>
            <w:tcW w:type="dxa" w:w="500"/>
            <w:tcMar>
              <w:top w:type="dxa" w:w="100"/>
              <w:left w:type="dxa" w:w="120"/>
              <w:bottom w:type="dxa" w:w="100"/>
              <w:right w:type="dxa" w:w="120"/>
            </w:tcMar>
            <w:vAlign w:val="center"/>
          </w:tcPr>
          <w:p>
            <w:pPr>
              <w:jc w:val="left"/>
            </w:pPr>
            <w:r>
              <w:rPr>
                <w:b w:val="false"/>
                <w:bCs w:val="false"/>
                <w:color w:val="000000"/>
                <w:sz w:val="20"/>
                <w:szCs w:val="20"/>
              </w:rPr>
              <w:t xml:space="preserve">7</w:t>
            </w:r>
          </w:p>
        </w:tc>
        <w:tc>
          <w:tcPr>
            <w:tcW w:type="dxa" w:w="4400"/>
            <w:tcMar>
              <w:top w:type="dxa" w:w="100"/>
              <w:left w:type="dxa" w:w="120"/>
              <w:bottom w:type="dxa" w:w="100"/>
              <w:right w:type="dxa" w:w="120"/>
            </w:tcMar>
            <w:vAlign w:val="center"/>
          </w:tcPr>
          <w:p>
            <w:pPr>
              <w:jc w:val="left"/>
            </w:pPr>
            <w:r>
              <w:rPr>
                <w:b w:val="false"/>
                <w:bCs w:val="false"/>
                <w:color w:val="000000"/>
                <w:sz w:val="20"/>
                <w:szCs w:val="20"/>
              </w:rPr>
              <w:t xml:space="preserve">An unused table_calendar dependency sat in pubspec.yaml doing nothing.</w:t>
            </w:r>
          </w:p>
        </w:tc>
        <w:tc>
          <w:tcPr>
            <w:tcW w:type="dxa" w:w="4400"/>
            <w:tcMar>
              <w:top w:type="dxa" w:w="100"/>
              <w:left w:type="dxa" w:w="120"/>
              <w:bottom w:type="dxa" w:w="100"/>
              <w:right w:type="dxa" w:w="120"/>
            </w:tcMar>
            <w:vAlign w:val="center"/>
          </w:tcPr>
          <w:p>
            <w:pPr>
              <w:jc w:val="left"/>
            </w:pPr>
            <w:r>
              <w:rPr>
                <w:b w:val="false"/>
                <w:bCs w:val="false"/>
                <w:color w:val="000000"/>
                <w:sz w:val="20"/>
                <w:szCs w:val="20"/>
              </w:rPr>
              <w:t xml:space="preserve">Implemented an actual calendar view for events, turning dead weight into a real feature.</w:t>
            </w:r>
          </w:p>
        </w:tc>
      </w:tr>
      <w:tr>
        <w:tc>
          <w:tcPr>
            <w:tcW w:type="dxa" w:w="5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8</w:t>
            </w:r>
          </w:p>
        </w:tc>
        <w:tc>
          <w:tcPr>
            <w:tcW w:type="dxa" w:w="44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The admin QR/phone Check-In flow had no duplicate-prevention: a donor could be confirmed twice for the same event.</w:t>
            </w:r>
          </w:p>
        </w:tc>
        <w:tc>
          <w:tcPr>
            <w:tcW w:type="dxa" w:w="44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Added an “already confirmed for this event” check that disables the Confirm action once a record exists, matching the Verify Donations tab's existing safeguard.</w:t>
            </w:r>
          </w:p>
        </w:tc>
      </w:tr>
      <w:tr>
        <w:tc>
          <w:tcPr>
            <w:tcW w:type="dxa" w:w="500"/>
            <w:tcMar>
              <w:top w:type="dxa" w:w="100"/>
              <w:left w:type="dxa" w:w="120"/>
              <w:bottom w:type="dxa" w:w="100"/>
              <w:right w:type="dxa" w:w="120"/>
            </w:tcMar>
            <w:vAlign w:val="center"/>
          </w:tcPr>
          <w:p>
            <w:pPr>
              <w:jc w:val="left"/>
            </w:pPr>
            <w:r>
              <w:rPr>
                <w:b w:val="false"/>
                <w:bCs w:val="false"/>
                <w:color w:val="000000"/>
                <w:sz w:val="20"/>
                <w:szCs w:val="20"/>
              </w:rPr>
              <w:t xml:space="preserve">9</w:t>
            </w:r>
          </w:p>
        </w:tc>
        <w:tc>
          <w:tcPr>
            <w:tcW w:type="dxa" w:w="4400"/>
            <w:tcMar>
              <w:top w:type="dxa" w:w="100"/>
              <w:left w:type="dxa" w:w="120"/>
              <w:bottom w:type="dxa" w:w="100"/>
              <w:right w:type="dxa" w:w="120"/>
            </w:tcMar>
            <w:vAlign w:val="center"/>
          </w:tcPr>
          <w:p>
            <w:pPr>
              <w:jc w:val="left"/>
            </w:pPr>
            <w:r>
              <w:rPr>
                <w:b w:val="false"/>
                <w:bCs w:val="false"/>
                <w:color w:val="000000"/>
                <w:sz w:val="20"/>
                <w:szCs w:val="20"/>
              </w:rPr>
              <w:t xml:space="preserve">DonorCard's city + distance text row had no flexible wrapping and could overflow on narrow screens with a long city name.</w:t>
            </w:r>
          </w:p>
        </w:tc>
        <w:tc>
          <w:tcPr>
            <w:tcW w:type="dxa" w:w="4400"/>
            <w:tcMar>
              <w:top w:type="dxa" w:w="100"/>
              <w:left w:type="dxa" w:w="120"/>
              <w:bottom w:type="dxa" w:w="100"/>
              <w:right w:type="dxa" w:w="120"/>
            </w:tcMar>
            <w:vAlign w:val="center"/>
          </w:tcPr>
          <w:p>
            <w:pPr>
              <w:jc w:val="left"/>
            </w:pPr>
            <w:r>
              <w:rPr>
                <w:b w:val="false"/>
                <w:bCs w:val="false"/>
                <w:color w:val="000000"/>
                <w:sz w:val="20"/>
                <w:szCs w:val="20"/>
              </w:rPr>
              <w:t xml:space="preserve">Wrapped both text elements in Flexible with ellipsis overflow handling.</w:t>
            </w:r>
          </w:p>
        </w:tc>
      </w:tr>
      <w:tr>
        <w:tc>
          <w:tcPr>
            <w:tcW w:type="dxa" w:w="5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10</w:t>
            </w:r>
          </w:p>
        </w:tc>
        <w:tc>
          <w:tcPr>
            <w:tcW w:type="dxa" w:w="44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Referral-code entry required an exact character match, including the dash, which is error-prone for manual typing.</w:t>
            </w:r>
          </w:p>
        </w:tc>
        <w:tc>
          <w:tcPr>
            <w:tcW w:type="dxa" w:w="44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Normalized comparison strips dashes/spaces on both sides before matching, while still storing the referrer's canonical code.</w:t>
            </w:r>
          </w:p>
        </w:tc>
      </w:tr>
      <w:tr>
        <w:tc>
          <w:tcPr>
            <w:tcW w:type="dxa" w:w="500"/>
            <w:tcMar>
              <w:top w:type="dxa" w:w="100"/>
              <w:left w:type="dxa" w:w="120"/>
              <w:bottom w:type="dxa" w:w="100"/>
              <w:right w:type="dxa" w:w="120"/>
            </w:tcMar>
            <w:vAlign w:val="center"/>
          </w:tcPr>
          <w:p>
            <w:pPr>
              <w:jc w:val="left"/>
            </w:pPr>
            <w:r>
              <w:rPr>
                <w:b w:val="false"/>
                <w:bCs w:val="false"/>
                <w:color w:val="000000"/>
                <w:sz w:val="20"/>
                <w:szCs w:val="20"/>
              </w:rPr>
              <w:t xml:space="preserve">11</w:t>
            </w:r>
          </w:p>
        </w:tc>
        <w:tc>
          <w:tcPr>
            <w:tcW w:type="dxa" w:w="4400"/>
            <w:tcMar>
              <w:top w:type="dxa" w:w="100"/>
              <w:left w:type="dxa" w:w="120"/>
              <w:bottom w:type="dxa" w:w="100"/>
              <w:right w:type="dxa" w:w="120"/>
            </w:tcMar>
            <w:vAlign w:val="center"/>
          </w:tcPr>
          <w:p>
            <w:pPr>
              <w:jc w:val="left"/>
            </w:pPr>
            <w:r>
              <w:rPr>
                <w:b w:val="false"/>
                <w:bCs w:val="false"/>
                <w:color w:val="000000"/>
                <w:sz w:val="20"/>
                <w:szCs w:val="20"/>
              </w:rPr>
              <w:t xml:space="preserve">A leftover unused canRegister variable and dead “Not Available” branch in the event detail screen.</w:t>
            </w:r>
          </w:p>
        </w:tc>
        <w:tc>
          <w:tcPr>
            <w:tcW w:type="dxa" w:w="4400"/>
            <w:tcMar>
              <w:top w:type="dxa" w:w="100"/>
              <w:left w:type="dxa" w:w="120"/>
              <w:bottom w:type="dxa" w:w="100"/>
              <w:right w:type="dxa" w:w="120"/>
            </w:tcMar>
            <w:vAlign w:val="center"/>
          </w:tcPr>
          <w:p>
            <w:pPr>
              <w:jc w:val="left"/>
            </w:pPr>
            <w:r>
              <w:rPr>
                <w:b w:val="false"/>
                <w:bCs w:val="false"/>
                <w:color w:val="000000"/>
                <w:sz w:val="20"/>
                <w:szCs w:val="20"/>
              </w:rPr>
              <w:t xml:space="preserve">Removed as part of general code-quality cleanup; behaviour unchanged since that branch was already unreachable.</w:t>
            </w:r>
          </w:p>
        </w:tc>
      </w:tr>
      <w:tr>
        <w:tc>
          <w:tcPr>
            <w:tcW w:type="dxa" w:w="5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12</w:t>
            </w:r>
          </w:p>
        </w:tc>
        <w:tc>
          <w:tcPr>
            <w:tcW w:type="dxa" w:w="44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Package version risk: share_plus's newest major version has breaking Android Gradle/Kotlin requirements.</w:t>
            </w:r>
          </w:p>
        </w:tc>
        <w:tc>
          <w:tcPr>
            <w:tcW w:type="dxa" w:w="44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Deliberately pinned to a pre-breaking-change version (^10.1.4) using the simpler, lower-risk classic API.</w:t>
            </w:r>
          </w:p>
        </w:tc>
      </w:tr>
    </w:tbl>
    <w:p>
      <w:r>
        <w:br w:type="page"/>
      </w:r>
    </w:p>
    <w:p>
      <w:pPr>
        <w:pStyle w:val="Heading1"/>
        <w:spacing w:after="160" w:before="280"/>
      </w:pPr>
      <w:r>
        <w:t xml:space="preserve">9. Known Limitations &amp; Suggested Future Work</w:t>
      </w:r>
    </w:p>
    <w:p>
      <w:pPr>
        <w:pStyle w:val="ListParagraph"/>
        <w:numPr>
          <w:ilvl w:val="0"/>
          <w:numId w:val="2"/>
        </w:numPr>
        <w:spacing w:after="90"/>
      </w:pPr>
      <w:r>
        <w:rPr>
          <w:b w:val="false"/>
          <w:bCs w:val="false"/>
          <w:sz w:val="22"/>
          <w:szCs w:val="22"/>
        </w:rPr>
        <w:t xml:space="preserve">No real backend yet — all data is in-memory and resets when the app restarts. A documented Firebase integration path (Auth, Firestore, Cloud Functions, Cloud Messaging) is ready to follow.</w:t>
      </w:r>
    </w:p>
    <w:p>
      <w:pPr>
        <w:pStyle w:val="ListParagraph"/>
        <w:numPr>
          <w:ilvl w:val="0"/>
          <w:numId w:val="2"/>
        </w:numPr>
        <w:spacing w:after="90"/>
      </w:pPr>
      <w:r>
        <w:rPr>
          <w:b w:val="false"/>
          <w:bCs w:val="false"/>
          <w:sz w:val="22"/>
          <w:szCs w:val="22"/>
        </w:rPr>
        <w:t xml:space="preserve">Notifications are in-app only, not push — a donor sees them next time they open the app rather than via a real-time OS notification; wiring FCM is the natural next step.</w:t>
      </w:r>
    </w:p>
    <w:p>
      <w:pPr>
        <w:pStyle w:val="ListParagraph"/>
        <w:numPr>
          <w:ilvl w:val="0"/>
          <w:numId w:val="2"/>
        </w:numPr>
        <w:spacing w:after="90"/>
      </w:pPr>
      <w:r>
        <w:rPr>
          <w:b w:val="false"/>
          <w:bCs w:val="false"/>
          <w:sz w:val="22"/>
          <w:szCs w:val="22"/>
        </w:rPr>
        <w:t xml:space="preserve">Admin can create and cancel events, but not edit an existing one.</w:t>
      </w:r>
    </w:p>
    <w:p>
      <w:pPr>
        <w:pStyle w:val="ListParagraph"/>
        <w:numPr>
          <w:ilvl w:val="0"/>
          <w:numId w:val="2"/>
        </w:numPr>
        <w:spacing w:after="90"/>
      </w:pPr>
      <w:r>
        <w:rPr>
          <w:b w:val="false"/>
          <w:bCs w:val="false"/>
          <w:sz w:val="22"/>
          <w:szCs w:val="22"/>
        </w:rPr>
        <w:t xml:space="preserve">No automated tests yet — unit tests for the compatibility chart, the Haversine distance function, and the donor-matching ranking logic would be the highest-value additions.</w:t>
      </w:r>
    </w:p>
    <w:p>
      <w:pPr>
        <w:pStyle w:val="ListParagraph"/>
        <w:numPr>
          <w:ilvl w:val="0"/>
          <w:numId w:val="2"/>
        </w:numPr>
        <w:spacing w:after="90"/>
      </w:pPr>
      <w:r>
        <w:rPr>
          <w:b w:val="false"/>
          <w:bCs w:val="false"/>
          <w:sz w:val="22"/>
          <w:szCs w:val="22"/>
        </w:rPr>
        <w:t xml:space="preserve">Referral program has no fraud/abuse prevention (e.g. a person creating multiple accounts to farm their own referral badges) — acceptable for a demo, but would need verification controls in a real deployment.</w:t>
      </w:r>
    </w:p>
    <w:p>
      <w:pPr>
        <w:pStyle w:val="ListParagraph"/>
        <w:numPr>
          <w:ilvl w:val="0"/>
          <w:numId w:val="2"/>
        </w:numPr>
        <w:spacing w:after="90"/>
      </w:pPr>
      <w:r>
        <w:rPr>
          <w:b w:val="false"/>
          <w:bCs w:val="false"/>
          <w:sz w:val="22"/>
          <w:szCs w:val="22"/>
        </w:rPr>
        <w:t xml:space="preserve">Matched donors' phone numbers are currently visible directly to the requester, and a donor's QR/referral code reveals their internal donor ID if shared with the wrong person (though no other data). A production version should consider a masked-contact or consent-based flow.</w:t>
      </w:r>
    </w:p>
    <w:p>
      <w:pPr>
        <w:pStyle w:val="ListParagraph"/>
        <w:numPr>
          <w:ilvl w:val="0"/>
          <w:numId w:val="2"/>
        </w:numPr>
        <w:spacing w:after="90"/>
      </w:pPr>
      <w:r>
        <w:rPr>
          <w:b w:val="false"/>
          <w:bCs w:val="false"/>
          <w:sz w:val="22"/>
          <w:szCs w:val="22"/>
        </w:rPr>
        <w:t xml:space="preserve">Seed/demo GPS coordinates are hand-placed near Ahmedabad, Gandhinagar, and Surat; a live deployment would rely entirely on real device GPS captured at signup, which the app already supports going forward.</w:t>
      </w:r>
    </w:p>
    <w:p>
      <w:pPr>
        <w:pStyle w:val="Heading1"/>
        <w:spacing w:after="160" w:before="280"/>
      </w:pPr>
      <w:r>
        <w:t xml:space="preserve">10. Feature Comparison Against Existing Blood-Donation Apps</w:t>
      </w:r>
    </w:p>
    <w:p>
      <w:pPr>
        <w:spacing w:after="160" w:line="300"/>
      </w:pPr>
      <w:r>
        <w:rPr>
          <w:sz w:val="22"/>
          <w:szCs w:val="22"/>
        </w:rPr>
        <w:t xml:space="preserve">Before extending the original proposal, a structured review of live blood-donation apps informed which additional features were worth building:</w:t>
      </w:r>
    </w:p>
    <w:p>
      <w:pPr>
        <w:pStyle w:val="ListParagraph"/>
        <w:numPr>
          <w:ilvl w:val="0"/>
          <w:numId w:val="2"/>
        </w:numPr>
        <w:spacing w:after="90"/>
      </w:pPr>
      <w:r>
        <w:rPr>
          <w:b w:val="false"/>
          <w:bCs w:val="false"/>
          <w:sz w:val="22"/>
          <w:szCs w:val="22"/>
        </w:rPr>
        <w:t xml:space="preserve">American Red Cross Blood Donor App — donation milestone badges and appointment reminders inspired RaktSetu's badge system and event-registration confirmations.</w:t>
      </w:r>
    </w:p>
    <w:p>
      <w:pPr>
        <w:pStyle w:val="ListParagraph"/>
        <w:numPr>
          <w:ilvl w:val="0"/>
          <w:numId w:val="2"/>
        </w:numPr>
        <w:spacing w:after="90"/>
      </w:pPr>
      <w:r>
        <w:rPr>
          <w:b w:val="false"/>
          <w:bCs w:val="false"/>
          <w:sz w:val="22"/>
          <w:szCs w:val="22"/>
        </w:rPr>
        <w:t xml:space="preserve">Vitalant — GPS-based centre/drive discovery and smart notifications informed the distance-based matching and in-app notification inbox.</w:t>
      </w:r>
    </w:p>
    <w:p>
      <w:pPr>
        <w:pStyle w:val="ListParagraph"/>
        <w:numPr>
          <w:ilvl w:val="0"/>
          <w:numId w:val="2"/>
        </w:numPr>
        <w:spacing w:after="90"/>
      </w:pPr>
      <w:r>
        <w:rPr>
          <w:b w:val="false"/>
          <w:bCs w:val="false"/>
          <w:sz w:val="22"/>
          <w:szCs w:val="22"/>
        </w:rPr>
        <w:t xml:space="preserve">Stanford Blood Center (Digital Donor) — the digital donor-ID card concept directly inspired RaktSetu's QR-based Donor ID and camp Check-In flow.</w:t>
      </w:r>
    </w:p>
    <w:p>
      <w:pPr>
        <w:pStyle w:val="ListParagraph"/>
        <w:numPr>
          <w:ilvl w:val="0"/>
          <w:numId w:val="2"/>
        </w:numPr>
        <w:spacing w:after="90"/>
      </w:pPr>
      <w:r>
        <w:rPr>
          <w:b w:val="false"/>
          <w:bCs w:val="false"/>
          <w:sz w:val="22"/>
          <w:szCs w:val="22"/>
        </w:rPr>
        <w:t xml:space="preserve">Friends2Support.org (India) — location-based donor search and direct-call contact most closely matches RaktSetu's own emergency-matching and one-tap-call design.</w:t>
      </w:r>
    </w:p>
    <w:p>
      <w:pPr>
        <w:pStyle w:val="ListParagraph"/>
        <w:numPr>
          <w:ilvl w:val="0"/>
          <w:numId w:val="2"/>
        </w:numPr>
        <w:spacing w:after="90"/>
      </w:pPr>
      <w:r>
        <w:rPr>
          <w:b w:val="false"/>
          <w:bCs w:val="false"/>
          <w:sz w:val="22"/>
          <w:szCs w:val="22"/>
        </w:rPr>
        <w:t xml:space="preserve">e-RaktKosh (Government of India) — online blood-requirement registration with acceptance notification informed the request-status notification flow.</w:t>
      </w:r>
    </w:p>
    <w:p>
      <w:pPr>
        <w:spacing w:after="160" w:line="300"/>
      </w:pPr>
      <w:r>
        <w:rPr>
          <w:sz w:val="22"/>
          <w:szCs w:val="22"/>
        </w:rPr>
        <w:t xml:space="preserve">Features deliberately left out of scope for this academic project: national-scale blood-bank inventory search (government-infrastructure-level problem), donor teams/leaderboards, biometric login, and a loyalty rewards store — noted in §9 as possible future work rather than built now.</w:t>
      </w:r>
    </w:p>
    <w:p>
      <w:r>
        <w:br w:type="page"/>
      </w:r>
    </w:p>
    <w:p>
      <w:pPr>
        <w:pStyle w:val="Heading1"/>
        <w:spacing w:after="160" w:before="280"/>
      </w:pPr>
      <w:r>
        <w:t xml:space="preserve">11. Team Members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200"/>
        <w:gridCol w:w="3000"/>
      </w:tblGrid>
      <w:tr>
        <w:trPr>
          <w:tblHeader/>
        </w:trPr>
        <w:tc>
          <w:tcPr>
            <w:tcW w:type="dxa" w:w="900"/>
            <w:shd w:fill="1B3A6B" w:val="clear"/>
            <w:tcMar>
              <w:top w:type="dxa" w:w="100"/>
              <w:left w:type="dxa" w:w="120"/>
              <w:bottom w:type="dxa" w:w="100"/>
              <w:right w:type="dxa" w:w="120"/>
            </w:tcMar>
            <w:vAlign w:val="center"/>
          </w:tcPr>
          <w:p>
            <w:pPr>
              <w:jc w:val="left"/>
            </w:pPr>
            <w:r>
              <w:rPr>
                <w:b/>
                <w:bCs/>
                <w:color w:val="FFFFFF"/>
                <w:sz w:val="20"/>
                <w:szCs w:val="20"/>
              </w:rPr>
              <w:t xml:space="preserve">S.No.</w:t>
            </w:r>
          </w:p>
        </w:tc>
        <w:tc>
          <w:tcPr>
            <w:tcW w:type="dxa" w:w="2400"/>
            <w:shd w:fill="1B3A6B" w:val="clear"/>
            <w:tcMar>
              <w:top w:type="dxa" w:w="100"/>
              <w:left w:type="dxa" w:w="120"/>
              <w:bottom w:type="dxa" w:w="100"/>
              <w:right w:type="dxa" w:w="120"/>
            </w:tcMar>
            <w:vAlign w:val="center"/>
          </w:tcPr>
          <w:p>
            <w:pPr>
              <w:jc w:val="left"/>
            </w:pPr>
            <w:r>
              <w:rPr>
                <w:b/>
                <w:bCs/>
                <w:color w:val="FFFFFF"/>
                <w:sz w:val="20"/>
                <w:szCs w:val="20"/>
              </w:rPr>
              <w:t xml:space="preserve">Enrolment Number</w:t>
            </w:r>
          </w:p>
        </w:tc>
        <w:tc>
          <w:tcPr>
            <w:tcW w:type="dxa" w:w="3200"/>
            <w:shd w:fill="1B3A6B" w:val="clear"/>
            <w:tcMar>
              <w:top w:type="dxa" w:w="100"/>
              <w:left w:type="dxa" w:w="120"/>
              <w:bottom w:type="dxa" w:w="100"/>
              <w:right w:type="dxa" w:w="120"/>
            </w:tcMar>
            <w:vAlign w:val="center"/>
          </w:tcPr>
          <w:p>
            <w:pPr>
              <w:jc w:val="left"/>
            </w:pPr>
            <w:r>
              <w:rPr>
                <w:b/>
                <w:bCs/>
                <w:color w:val="FFFFFF"/>
                <w:sz w:val="20"/>
                <w:szCs w:val="20"/>
              </w:rPr>
              <w:t xml:space="preserve">Full Name</w:t>
            </w:r>
          </w:p>
        </w:tc>
        <w:tc>
          <w:tcPr>
            <w:tcW w:type="dxa" w:w="3000"/>
            <w:shd w:fill="1B3A6B" w:val="clear"/>
            <w:tcMar>
              <w:top w:type="dxa" w:w="100"/>
              <w:left w:type="dxa" w:w="120"/>
              <w:bottom w:type="dxa" w:w="100"/>
              <w:right w:type="dxa" w:w="120"/>
            </w:tcMar>
            <w:vAlign w:val="center"/>
          </w:tcPr>
          <w:p>
            <w:pPr>
              <w:jc w:val="left"/>
            </w:pPr>
            <w:r>
              <w:rPr>
                <w:b/>
                <w:bCs/>
                <w:color w:val="FFFFFF"/>
                <w:sz w:val="20"/>
                <w:szCs w:val="20"/>
              </w:rPr>
              <w:t xml:space="preserve">Role</w:t>
            </w:r>
          </w:p>
        </w:tc>
      </w:tr>
      <w:tr>
        <w:tc>
          <w:tcPr>
            <w:tcW w:type="dxa" w:w="900"/>
            <w:tcMar>
              <w:top w:type="dxa" w:w="100"/>
              <w:left w:type="dxa" w:w="120"/>
              <w:bottom w:type="dxa" w:w="100"/>
              <w:right w:type="dxa" w:w="120"/>
            </w:tcMar>
            <w:vAlign w:val="center"/>
          </w:tcPr>
          <w:p>
            <w:pPr>
              <w:jc w:val="left"/>
            </w:pPr>
            <w:r>
              <w:rPr>
                <w:b w:val="false"/>
                <w:bCs w:val="false"/>
                <w:color w:val="000000"/>
                <w:sz w:val="20"/>
                <w:szCs w:val="20"/>
              </w:rPr>
              <w:t xml:space="preserve">1</w:t>
            </w:r>
          </w:p>
        </w:tc>
        <w:tc>
          <w:tcPr>
            <w:tcW w:type="dxa" w:w="2400"/>
            <w:tcMar>
              <w:top w:type="dxa" w:w="100"/>
              <w:left w:type="dxa" w:w="120"/>
              <w:bottom w:type="dxa" w:w="100"/>
              <w:right w:type="dxa" w:w="120"/>
            </w:tcMar>
            <w:vAlign w:val="center"/>
          </w:tcPr>
          <w:p>
            <w:pPr>
              <w:jc w:val="left"/>
            </w:pPr>
            <w:r>
              <w:rPr>
                <w:b w:val="false"/>
                <w:bCs w:val="false"/>
                <w:color w:val="000000"/>
                <w:sz w:val="20"/>
                <w:szCs w:val="20"/>
              </w:rPr>
              <w:t xml:space="preserve">202402519010161</w:t>
            </w:r>
          </w:p>
        </w:tc>
        <w:tc>
          <w:tcPr>
            <w:tcW w:type="dxa" w:w="3200"/>
            <w:tcMar>
              <w:top w:type="dxa" w:w="100"/>
              <w:left w:type="dxa" w:w="120"/>
              <w:bottom w:type="dxa" w:w="100"/>
              <w:right w:type="dxa" w:w="120"/>
            </w:tcMar>
            <w:vAlign w:val="center"/>
          </w:tcPr>
          <w:p>
            <w:pPr>
              <w:jc w:val="left"/>
            </w:pPr>
            <w:r>
              <w:rPr>
                <w:b w:val="false"/>
                <w:bCs w:val="false"/>
                <w:color w:val="000000"/>
                <w:sz w:val="20"/>
                <w:szCs w:val="20"/>
              </w:rPr>
              <w:t xml:space="preserve">Mohammedmoin Abdulvahid Memon</w:t>
            </w:r>
          </w:p>
        </w:tc>
        <w:tc>
          <w:tcPr>
            <w:tcW w:type="dxa" w:w="3000"/>
            <w:tcMar>
              <w:top w:type="dxa" w:w="100"/>
              <w:left w:type="dxa" w:w="120"/>
              <w:bottom w:type="dxa" w:w="100"/>
              <w:right w:type="dxa" w:w="120"/>
            </w:tcMar>
            <w:vAlign w:val="center"/>
          </w:tcPr>
          <w:p>
            <w:pPr>
              <w:jc w:val="left"/>
            </w:pPr>
            <w:r>
              <w:rPr>
                <w:b w:val="false"/>
                <w:bCs w:val="false"/>
                <w:color w:val="000000"/>
                <w:sz w:val="20"/>
                <w:szCs w:val="20"/>
              </w:rPr>
              <w:t xml:space="preserve">Frontend Development (Flutter UI/UX — screens, navigation, widgets)</w:t>
            </w:r>
          </w:p>
        </w:tc>
      </w:tr>
      <w:tr>
        <w:tc>
          <w:tcPr>
            <w:tcW w:type="dxa" w:w="9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2</w:t>
            </w:r>
          </w:p>
        </w:tc>
        <w:tc>
          <w:tcPr>
            <w:tcW w:type="dxa" w:w="24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202402519010192</w:t>
            </w:r>
          </w:p>
        </w:tc>
        <w:tc>
          <w:tcPr>
            <w:tcW w:type="dxa" w:w="32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Pathan Arkannoor Arshadnoor</w:t>
            </w:r>
          </w:p>
        </w:tc>
        <w:tc>
          <w:tcPr>
            <w:tcW w:type="dxa" w:w="30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Backend / Data-layer Integration (repository pattern, matching &amp; eligibility logic)</w:t>
            </w:r>
          </w:p>
        </w:tc>
      </w:tr>
      <w:tr>
        <w:tc>
          <w:tcPr>
            <w:tcW w:type="dxa" w:w="900"/>
            <w:tcMar>
              <w:top w:type="dxa" w:w="100"/>
              <w:left w:type="dxa" w:w="120"/>
              <w:bottom w:type="dxa" w:w="100"/>
              <w:right w:type="dxa" w:w="120"/>
            </w:tcMar>
            <w:vAlign w:val="center"/>
          </w:tcPr>
          <w:p>
            <w:pPr>
              <w:jc w:val="left"/>
            </w:pPr>
            <w:r>
              <w:rPr>
                <w:b w:val="false"/>
                <w:bCs w:val="false"/>
                <w:color w:val="000000"/>
                <w:sz w:val="20"/>
                <w:szCs w:val="20"/>
              </w:rPr>
              <w:t xml:space="preserve">3</w:t>
            </w:r>
          </w:p>
        </w:tc>
        <w:tc>
          <w:tcPr>
            <w:tcW w:type="dxa" w:w="2400"/>
            <w:tcMar>
              <w:top w:type="dxa" w:w="100"/>
              <w:left w:type="dxa" w:w="120"/>
              <w:bottom w:type="dxa" w:w="100"/>
              <w:right w:type="dxa" w:w="120"/>
            </w:tcMar>
            <w:vAlign w:val="center"/>
          </w:tcPr>
          <w:p>
            <w:pPr>
              <w:jc w:val="left"/>
            </w:pPr>
            <w:r>
              <w:rPr>
                <w:b w:val="false"/>
                <w:bCs w:val="false"/>
                <w:color w:val="000000"/>
                <w:sz w:val="20"/>
                <w:szCs w:val="20"/>
              </w:rPr>
              <w:t xml:space="preserve">202402519010162</w:t>
            </w:r>
          </w:p>
        </w:tc>
        <w:tc>
          <w:tcPr>
            <w:tcW w:type="dxa" w:w="3200"/>
            <w:tcMar>
              <w:top w:type="dxa" w:w="100"/>
              <w:left w:type="dxa" w:w="120"/>
              <w:bottom w:type="dxa" w:w="100"/>
              <w:right w:type="dxa" w:w="120"/>
            </w:tcMar>
            <w:vAlign w:val="center"/>
          </w:tcPr>
          <w:p>
            <w:pPr>
              <w:jc w:val="left"/>
            </w:pPr>
            <w:r>
              <w:rPr>
                <w:b w:val="false"/>
                <w:bCs w:val="false"/>
                <w:color w:val="000000"/>
                <w:sz w:val="20"/>
                <w:szCs w:val="20"/>
              </w:rPr>
              <w:t xml:space="preserve">Memon Muhammed Mohnishbhai</w:t>
            </w:r>
          </w:p>
        </w:tc>
        <w:tc>
          <w:tcPr>
            <w:tcW w:type="dxa" w:w="3000"/>
            <w:tcMar>
              <w:top w:type="dxa" w:w="100"/>
              <w:left w:type="dxa" w:w="120"/>
              <w:bottom w:type="dxa" w:w="100"/>
              <w:right w:type="dxa" w:w="120"/>
            </w:tcMar>
            <w:vAlign w:val="center"/>
          </w:tcPr>
          <w:p>
            <w:pPr>
              <w:jc w:val="left"/>
            </w:pPr>
            <w:r>
              <w:rPr>
                <w:b w:val="false"/>
                <w:bCs w:val="false"/>
                <w:color w:val="000000"/>
                <w:sz w:val="20"/>
                <w:szCs w:val="20"/>
              </w:rPr>
              <w:t xml:space="preserve">Testing, Notifications, QR/Geolocation features &amp; Documentation</w:t>
            </w:r>
          </w:p>
        </w:tc>
      </w:tr>
    </w:tbl>
    <w:p>
      <w:pPr>
        <w:pStyle w:val="Heading1"/>
        <w:spacing w:after="160" w:before="280"/>
      </w:pPr>
      <w:r>
        <w:t xml:space="preserve">12. References</w:t>
      </w:r>
    </w:p>
    <w:p>
      <w:pPr>
        <w:spacing w:after="160" w:line="300"/>
      </w:pPr>
      <w:r>
        <w:rPr>
          <w:i/>
          <w:iCs/>
          <w:sz w:val="20"/>
          <w:szCs w:val="20"/>
        </w:rPr>
        <w:t xml:space="preserve">1. e-Raktkosh — Centralized Blood Bank Management Information System, Government of India.</w:t>
      </w:r>
    </w:p>
    <w:p>
      <w:pPr>
        <w:spacing w:after="160" w:line="300"/>
      </w:pPr>
      <w:r>
        <w:rPr>
          <w:i/>
          <w:iCs/>
          <w:sz w:val="20"/>
          <w:szCs w:val="20"/>
        </w:rPr>
        <w:t xml:space="preserve">2. World Health Organization — Blood Donor Selection: Guidelines on Assessing Donor Suitability for Blood Donation.</w:t>
      </w:r>
    </w:p>
    <w:p>
      <w:pPr>
        <w:spacing w:after="160" w:line="300"/>
      </w:pPr>
      <w:r>
        <w:rPr>
          <w:i/>
          <w:iCs/>
          <w:sz w:val="20"/>
          <w:szCs w:val="20"/>
        </w:rPr>
        <w:t xml:space="preserve">3. American Red Cross — Blood Donor App (Google Play listing).</w:t>
      </w:r>
    </w:p>
    <w:p>
      <w:pPr>
        <w:spacing w:after="160" w:line="300"/>
      </w:pPr>
      <w:r>
        <w:rPr>
          <w:i/>
          <w:iCs/>
          <w:sz w:val="20"/>
          <w:szCs w:val="20"/>
        </w:rPr>
        <w:t xml:space="preserve">4. Vitalant — Blood Donor App (Google Play listing).</w:t>
      </w:r>
    </w:p>
    <w:p>
      <w:pPr>
        <w:spacing w:after="160" w:line="300"/>
      </w:pPr>
      <w:r>
        <w:rPr>
          <w:i/>
          <w:iCs/>
          <w:sz w:val="20"/>
          <w:szCs w:val="20"/>
        </w:rPr>
        <w:t xml:space="preserve">5. Stanford Blood Center — Digital Donor App documentation.</w:t>
      </w:r>
    </w:p>
    <w:p>
      <w:pPr>
        <w:spacing w:after="160" w:line="300"/>
      </w:pPr>
      <w:r>
        <w:rPr>
          <w:i/>
          <w:iCs/>
          <w:sz w:val="20"/>
          <w:szCs w:val="20"/>
        </w:rPr>
        <w:t xml:space="preserve">6. Friends2Support.org — Blood Donor App (Google Play listing).</w:t>
      </w:r>
    </w:p>
    <w:p>
      <w:pPr>
        <w:spacing w:after="160" w:line="300"/>
      </w:pPr>
      <w:r>
        <w:rPr>
          <w:i/>
          <w:iCs/>
          <w:sz w:val="20"/>
          <w:szCs w:val="20"/>
        </w:rPr>
        <w:t xml:space="preserve">7. Flutter Official Documentation — flutter.dev</w:t>
      </w:r>
    </w:p>
    <w:p>
      <w:pPr>
        <w:spacing w:after="160" w:line="300"/>
      </w:pPr>
      <w:r>
        <w:rPr>
          <w:i/>
          <w:iCs/>
          <w:sz w:val="20"/>
          <w:szCs w:val="20"/>
        </w:rPr>
        <w:t xml:space="preserve">8. pub.dev package documentation — mobile_scanner, geolocator, qr_flutter, share_plus, url_launcher, table_calendar.</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2026-08-03T23:05:04.189Z</dcterms:created>
  <dcterms:modified xsi:type="dcterms:W3CDTF">2026-08-03T23:05:04.203Z</dcterms:modified>
</cp:coreProperties>
</file>

<file path=docProps/custom.xml><?xml version="1.0" encoding="utf-8"?>
<Properties xmlns="http://schemas.openxmlformats.org/officeDocument/2006/custom-properties" xmlns:vt="http://schemas.openxmlformats.org/officeDocument/2006/docPropsVTypes"/>
</file>