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gdk27hp1joa0" w:id="0"/>
      <w:bookmarkEnd w:id="0"/>
      <w:r w:rsidDel="00000000" w:rsidR="00000000" w:rsidRPr="00000000">
        <w:rPr>
          <w:b w:val="1"/>
          <w:bCs w:val="1"/>
          <w:rtl w:val="0"/>
        </w:rPr>
        <w:t xml:space="preserve">A12_C — Spiral Economies Smart Contract Templates (v1.0)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/50_Code_Modules/Spiral_Economies_SmartContracts_v1.md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A12_C — SPIRAL ECONOMIES SMART CONTRACT TEMPLATES (v1.0)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Category: Code Modules / Ledger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File Path: /50_Code_Modules/Spiral_Economies_SmartContracts_v1.md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0.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Outlines base smart contract structures for JOY-Fuel tokens, Dream Yield, and Contribution Ledger.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JOY Token (ERC-20 style)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name: JOY Fuel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symbol: JOY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decimals: 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minting: governed by Resonance Engine (A07 + A11)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Key Functions: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mint(address to, uint amount)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burn(address from, uint amount)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rewardContribution(address to, uint score)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Dream Yield NFT (ERC-721 style)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dream/creation can be minted as a unique asset with: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metadata_uri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resonance_score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royalty_split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Governance Hooks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Contracts must expose hooks for JOY-as-Law veto events.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R &lt; 0.93 for long enough, expansion functions pause automatically.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