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EMA</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220FB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5/04</w:t>
            </w:r>
            <w:r w:rsidR="005E473E">
              <w:rPr>
                <w:rFonts w:ascii="Arial" w:eastAsia="Times New Roman" w:hAnsi="Arial" w:cs="Arial"/>
                <w:color w:val="000000"/>
                <w:sz w:val="24"/>
                <w:szCs w:val="24"/>
                <w:lang w:eastAsia="es-VE"/>
              </w:rPr>
              <w:t>/18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220FBB"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3</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A54283" w:rsidRDefault="00220FBB" w:rsidP="00220FBB">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acabaron 5 casos de uso.</w:t>
            </w:r>
          </w:p>
          <w:p w:rsidR="00612B27" w:rsidRPr="00612B27" w:rsidRDefault="00220FBB"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No hubo problemas con el repositorio al unir los casos de uso desarrollados.</w:t>
            </w:r>
          </w:p>
        </w:tc>
        <w:tc>
          <w:tcPr>
            <w:tcW w:w="4110" w:type="dxa"/>
            <w:shd w:val="clear" w:color="auto" w:fill="auto"/>
          </w:tcPr>
          <w:p w:rsidR="00DA6640" w:rsidRDefault="00220FBB" w:rsidP="00220FBB">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No se cumplieron todas las tareas planeadas para esta iteración.</w:t>
            </w:r>
          </w:p>
          <w:p w:rsidR="00612B27" w:rsidRDefault="00220FBB"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 xml:space="preserve">Hubo errores al momento de planear la base de datos y se tuvo que corregir sobre la marcha. </w:t>
            </w:r>
          </w:p>
          <w:p w:rsidR="00612B27" w:rsidRPr="00612B27" w:rsidRDefault="00083D73"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estimó mal las horas de implementación de algunos casos de uso.</w:t>
            </w:r>
          </w:p>
        </w:tc>
        <w:tc>
          <w:tcPr>
            <w:tcW w:w="4536" w:type="dxa"/>
            <w:shd w:val="clear" w:color="auto" w:fill="auto"/>
          </w:tcPr>
          <w:p w:rsidR="009C483B" w:rsidRDefault="00220FBB" w:rsidP="00220FBB">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Repasar la documentación de javafx.</w:t>
            </w:r>
          </w:p>
          <w:p w:rsidR="00220FBB" w:rsidRDefault="00220FBB"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Realizar una mejor distribución de horas a la planeación de la implementación de los CU.</w:t>
            </w:r>
          </w:p>
          <w:p w:rsidR="00021C5D" w:rsidRDefault="00021C5D" w:rsidP="00612B27">
            <w:pPr>
              <w:pStyle w:val="NormalWeb"/>
              <w:numPr>
                <w:ilvl w:val="0"/>
                <w:numId w:val="6"/>
              </w:numPr>
              <w:spacing w:before="0" w:beforeAutospacing="0" w:after="0" w:afterAutospacing="0"/>
              <w:rPr>
                <w:rFonts w:ascii="Arial" w:hAnsi="Arial" w:cs="Arial"/>
                <w:b/>
                <w:color w:val="365F91"/>
              </w:rPr>
            </w:pPr>
            <w:r>
              <w:rPr>
                <w:rFonts w:ascii="Arial" w:hAnsi="Arial" w:cs="Arial"/>
                <w:b/>
                <w:color w:val="365F91"/>
              </w:rPr>
              <w:t>Se apoyará al miembro del equipo con menos experiencia en las tecnologías utilizadas.</w:t>
            </w:r>
          </w:p>
          <w:p w:rsidR="007359CA" w:rsidRPr="00612B27" w:rsidRDefault="007359CA" w:rsidP="007359CA">
            <w:pPr>
              <w:pStyle w:val="NormalWeb"/>
              <w:spacing w:before="0" w:beforeAutospacing="0" w:after="0" w:afterAutospacing="0"/>
              <w:rPr>
                <w:rFonts w:ascii="Arial" w:hAnsi="Arial" w:cs="Arial"/>
                <w:b/>
                <w:color w:val="365F91"/>
              </w:rPr>
            </w:pPr>
            <w:bookmarkStart w:id="0" w:name="_GoBack"/>
            <w:bookmarkEnd w:id="0"/>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ECE" w:rsidRDefault="00DD0ECE">
      <w:pPr>
        <w:spacing w:after="0" w:line="240" w:lineRule="auto"/>
      </w:pPr>
      <w:r>
        <w:separator/>
      </w:r>
    </w:p>
  </w:endnote>
  <w:endnote w:type="continuationSeparator" w:id="0">
    <w:p w:rsidR="00DD0ECE" w:rsidRDefault="00DD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ECE" w:rsidRDefault="00DD0ECE">
      <w:pPr>
        <w:spacing w:after="0" w:line="240" w:lineRule="auto"/>
      </w:pPr>
      <w:r>
        <w:separator/>
      </w:r>
    </w:p>
  </w:footnote>
  <w:footnote w:type="continuationSeparator" w:id="0">
    <w:p w:rsidR="00DD0ECE" w:rsidRDefault="00DD0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F955EFB"/>
    <w:multiLevelType w:val="hybridMultilevel"/>
    <w:tmpl w:val="187A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D77826"/>
    <w:multiLevelType w:val="hybridMultilevel"/>
    <w:tmpl w:val="067E6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D8540C"/>
    <w:multiLevelType w:val="hybridMultilevel"/>
    <w:tmpl w:val="4B08E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D771FD"/>
    <w:multiLevelType w:val="hybridMultilevel"/>
    <w:tmpl w:val="86C0E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5065830"/>
    <w:multiLevelType w:val="hybridMultilevel"/>
    <w:tmpl w:val="DB4C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83"/>
    <w:rsid w:val="00021C5D"/>
    <w:rsid w:val="00083D73"/>
    <w:rsid w:val="00220FBB"/>
    <w:rsid w:val="00574BE7"/>
    <w:rsid w:val="005A43D1"/>
    <w:rsid w:val="005E473E"/>
    <w:rsid w:val="00612B27"/>
    <w:rsid w:val="007359CA"/>
    <w:rsid w:val="008B492E"/>
    <w:rsid w:val="009C483B"/>
    <w:rsid w:val="00A54283"/>
    <w:rsid w:val="00DA6640"/>
    <w:rsid w:val="00DD0ECE"/>
    <w:rsid w:val="00F5185C"/>
    <w:rsid w:val="00FD74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6D07C"/>
  <w14:defaultImageDpi w14:val="300"/>
  <w15:docId w15:val="{1C4F1331-8E8C-4F2B-9233-4B6F9E3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FLORES NESTOZO JESUS ENRIQUE</cp:lastModifiedBy>
  <cp:revision>13</cp:revision>
  <dcterms:created xsi:type="dcterms:W3CDTF">2018-02-09T02:26:00Z</dcterms:created>
  <dcterms:modified xsi:type="dcterms:W3CDTF">2018-04-05T23:07:00Z</dcterms:modified>
</cp:coreProperties>
</file>