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Under-performing Client Portfolio – Root-Cause Summary &amp; Action Plan</w:t>
      </w:r>
    </w:p>
    <w:p>
      <w:r>
        <w:t>Date: 31 Aug 2026</w:t>
        <w:br/>
      </w:r>
      <w:r>
        <w:t>Prepared by: Client Profitability Analytics Pipeline</w:t>
      </w:r>
    </w:p>
    <w:p>
      <w:pPr>
        <w:pStyle w:val="Heading2"/>
      </w:pPr>
      <w:r>
        <w:t>1. Overall Summary</w:t>
      </w:r>
    </w:p>
    <w:p>
      <w:r>
        <w:t>The analysis identified eight underperforming clients, with seven (87.5%) flagged as discount‑driven (realization rates below 100%) and one (12.5%) flagged as cost‑driven (fee at or above standard but staffing costs eroding margin). Net margins range from 24.37% to 49.32%, with the sole cost‑driven client showing the lowest margin.</w:t>
      </w:r>
    </w:p>
    <w:p>
      <w:pPr>
        <w:pStyle w:val="Heading2"/>
      </w:pPr>
      <w:r>
        <w:t>2. Discount-Driven Clients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Client ID</w:t>
            </w:r>
          </w:p>
        </w:tc>
        <w:tc>
          <w:tcPr>
            <w:tcW w:type="dxa" w:w="2880"/>
          </w:tcPr>
          <w:p>
            <w:r>
              <w:t>Net Margin %</w:t>
            </w:r>
          </w:p>
        </w:tc>
        <w:tc>
          <w:tcPr>
            <w:tcW w:type="dxa" w:w="2880"/>
          </w:tcPr>
          <w:p>
            <w:r>
              <w:t>Realization Rate %</w:t>
            </w:r>
          </w:p>
        </w:tc>
      </w:tr>
      <w:tr>
        <w:tc>
          <w:tcPr>
            <w:tcW w:type="dxa" w:w="2880"/>
          </w:tcPr>
          <w:p>
            <w:r>
              <w:t>C1024</w:t>
            </w:r>
          </w:p>
        </w:tc>
        <w:tc>
          <w:tcPr>
            <w:tcW w:type="dxa" w:w="2880"/>
          </w:tcPr>
          <w:p>
            <w:r>
              <w:t>49.32</w:t>
            </w:r>
          </w:p>
        </w:tc>
        <w:tc>
          <w:tcPr>
            <w:tcW w:type="dxa" w:w="2880"/>
          </w:tcPr>
          <w:p>
            <w:r>
              <w:t>97.40</w:t>
            </w:r>
          </w:p>
        </w:tc>
      </w:tr>
      <w:tr>
        <w:tc>
          <w:tcPr>
            <w:tcW w:type="dxa" w:w="2880"/>
          </w:tcPr>
          <w:p>
            <w:r>
              <w:t>C1032</w:t>
            </w:r>
          </w:p>
        </w:tc>
        <w:tc>
          <w:tcPr>
            <w:tcW w:type="dxa" w:w="2880"/>
          </w:tcPr>
          <w:p>
            <w:r>
              <w:t>48.01</w:t>
            </w:r>
          </w:p>
        </w:tc>
        <w:tc>
          <w:tcPr>
            <w:tcW w:type="dxa" w:w="2880"/>
          </w:tcPr>
          <w:p>
            <w:r>
              <w:t>95.22</w:t>
            </w:r>
          </w:p>
        </w:tc>
      </w:tr>
      <w:tr>
        <w:tc>
          <w:tcPr>
            <w:tcW w:type="dxa" w:w="2880"/>
          </w:tcPr>
          <w:p>
            <w:r>
              <w:t>C1022</w:t>
            </w:r>
          </w:p>
        </w:tc>
        <w:tc>
          <w:tcPr>
            <w:tcW w:type="dxa" w:w="2880"/>
          </w:tcPr>
          <w:p>
            <w:r>
              <w:t>46.67</w:t>
            </w:r>
          </w:p>
        </w:tc>
        <w:tc>
          <w:tcPr>
            <w:tcW w:type="dxa" w:w="2880"/>
          </w:tcPr>
          <w:p>
            <w:r>
              <w:t>98.88</w:t>
            </w:r>
          </w:p>
        </w:tc>
      </w:tr>
      <w:tr>
        <w:tc>
          <w:tcPr>
            <w:tcW w:type="dxa" w:w="2880"/>
          </w:tcPr>
          <w:p>
            <w:r>
              <w:t>C1000</w:t>
            </w:r>
          </w:p>
        </w:tc>
        <w:tc>
          <w:tcPr>
            <w:tcW w:type="dxa" w:w="2880"/>
          </w:tcPr>
          <w:p>
            <w:r>
              <w:t>46.60</w:t>
            </w:r>
          </w:p>
        </w:tc>
        <w:tc>
          <w:tcPr>
            <w:tcW w:type="dxa" w:w="2880"/>
          </w:tcPr>
          <w:p>
            <w:r>
              <w:t>93.71</w:t>
            </w:r>
          </w:p>
        </w:tc>
      </w:tr>
      <w:tr>
        <w:tc>
          <w:tcPr>
            <w:tcW w:type="dxa" w:w="2880"/>
          </w:tcPr>
          <w:p>
            <w:r>
              <w:t>C1015</w:t>
            </w:r>
          </w:p>
        </w:tc>
        <w:tc>
          <w:tcPr>
            <w:tcW w:type="dxa" w:w="2880"/>
          </w:tcPr>
          <w:p>
            <w:r>
              <w:t>46.47</w:t>
            </w:r>
          </w:p>
        </w:tc>
        <w:tc>
          <w:tcPr>
            <w:tcW w:type="dxa" w:w="2880"/>
          </w:tcPr>
          <w:p>
            <w:r>
              <w:t>92.28</w:t>
            </w:r>
          </w:p>
        </w:tc>
      </w:tr>
      <w:tr>
        <w:tc>
          <w:tcPr>
            <w:tcW w:type="dxa" w:w="2880"/>
          </w:tcPr>
          <w:p>
            <w:r>
              <w:t>C1012</w:t>
            </w:r>
          </w:p>
        </w:tc>
        <w:tc>
          <w:tcPr>
            <w:tcW w:type="dxa" w:w="2880"/>
          </w:tcPr>
          <w:p>
            <w:r>
              <w:t>40.49</w:t>
            </w:r>
          </w:p>
        </w:tc>
        <w:tc>
          <w:tcPr>
            <w:tcW w:type="dxa" w:w="2880"/>
          </w:tcPr>
          <w:p>
            <w:r>
              <w:t>86.32</w:t>
            </w:r>
          </w:p>
        </w:tc>
      </w:tr>
      <w:tr>
        <w:tc>
          <w:tcPr>
            <w:tcW w:type="dxa" w:w="2880"/>
          </w:tcPr>
          <w:p>
            <w:r>
              <w:t>C1018</w:t>
            </w:r>
          </w:p>
        </w:tc>
        <w:tc>
          <w:tcPr>
            <w:tcW w:type="dxa" w:w="2880"/>
          </w:tcPr>
          <w:p>
            <w:r>
              <w:t>31.32</w:t>
            </w:r>
          </w:p>
        </w:tc>
        <w:tc>
          <w:tcPr>
            <w:tcW w:type="dxa" w:w="2880"/>
          </w:tcPr>
          <w:p>
            <w:r>
              <w:t>71.43</w:t>
            </w:r>
          </w:p>
        </w:tc>
      </w:tr>
    </w:tbl>
    <w:p>
      <w:pPr>
        <w:pStyle w:val="Heading2"/>
      </w:pPr>
      <w:r>
        <w:t>3. Cost-Driven Clients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Client ID</w:t>
            </w:r>
          </w:p>
        </w:tc>
        <w:tc>
          <w:tcPr>
            <w:tcW w:type="dxa" w:w="2880"/>
          </w:tcPr>
          <w:p>
            <w:r>
              <w:t>Net Margin %</w:t>
            </w:r>
          </w:p>
        </w:tc>
        <w:tc>
          <w:tcPr>
            <w:tcW w:type="dxa" w:w="2880"/>
          </w:tcPr>
          <w:p>
            <w:r>
              <w:t>Realization Rate %</w:t>
            </w:r>
          </w:p>
        </w:tc>
      </w:tr>
      <w:tr>
        <w:tc>
          <w:tcPr>
            <w:tcW w:type="dxa" w:w="2880"/>
          </w:tcPr>
          <w:p>
            <w:r>
              <w:t>C1019</w:t>
            </w:r>
          </w:p>
        </w:tc>
        <w:tc>
          <w:tcPr>
            <w:tcW w:type="dxa" w:w="2880"/>
          </w:tcPr>
          <w:p>
            <w:r>
              <w:t>24.37</w:t>
            </w:r>
          </w:p>
        </w:tc>
        <w:tc>
          <w:tcPr>
            <w:tcW w:type="dxa" w:w="2880"/>
          </w:tcPr>
          <w:p>
            <w:r>
              <w:t>101.96</w:t>
            </w:r>
          </w:p>
        </w:tc>
      </w:tr>
    </w:tbl>
    <w:p>
      <w:pPr>
        <w:pStyle w:val="Heading2"/>
      </w:pPr>
      <w:r>
        <w:t>4. Recommendation</w:t>
      </w:r>
    </w:p>
    <w:p>
      <w:r>
        <w:t>Prioritize the discount‑driven group first, as it comprises the majority of the issue and can be remedied promptly through pricing adjustments or tighter fee negotiations. Once pricing is aligned, turn attention to the cost‑driven client to address staffing cost inefficiencies and protect margin.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