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SpartanNash - UI Design Specification</w:t>
      </w:r>
    </w:p>
    <w:p>
      <w:r>
        <w:t>Version: 1.0</w:t>
      </w:r>
    </w:p>
    <w:p>
      <w:r>
        <w:t>Date: March 20, 2026</w:t>
      </w:r>
    </w:p>
    <w:p>
      <w:r>
        <w:t>Purpose: Developer reference for building applications, dashboards, and reports aligned with the SpartanNash brand identity.</w:t>
      </w:r>
    </w:p>
    <w:p>
      <w:pPr>
        <w:pStyle w:val="Heading1"/>
      </w:pPr>
      <w:r>
        <w:t>Document History</w:t>
      </w:r>
    </w:p>
    <w:p>
      <w:r>
        <w:t>v1.0 (March 20, 2026): Initial UI design specification migrated from legacy documentation to modern format.</w:t>
      </w:r>
    </w:p>
    <w:p>
      <w:pPr>
        <w:pStyle w:val="Heading1"/>
      </w:pPr>
      <w:r>
        <w:t>1. Corporate Color Palette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2160"/>
          </w:tcPr>
          <w:p>
            <w:r>
              <w:t>SPTN Dark Green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</w:tcPr>
          <w:p>
            <w:r>
              <w:t>Visual headers, primary titles</w:t>
            </w:r>
          </w:p>
        </w:tc>
      </w:tr>
      <w:tr>
        <w:tc>
          <w:tcPr>
            <w:tcW w:type="dxa" w:w="2160"/>
          </w:tcPr>
          <w:p>
            <w:r>
              <w:t>Secondary</w:t>
            </w:r>
          </w:p>
        </w:tc>
        <w:tc>
          <w:tcPr>
            <w:tcW w:type="dxa" w:w="2160"/>
          </w:tcPr>
          <w:p>
            <w:r>
              <w:t>SPTN Mid Green</w:t>
            </w:r>
          </w:p>
        </w:tc>
        <w:tc>
          <w:tcPr>
            <w:tcW w:type="dxa" w:w="2160"/>
          </w:tcPr>
          <w:p>
            <w:r>
              <w:t>#43B02A</w:t>
            </w:r>
          </w:p>
        </w:tc>
        <w:tc>
          <w:tcPr>
            <w:tcW w:type="dxa" w:w="2160"/>
          </w:tcPr>
          <w:p>
            <w:r>
              <w:t>Section headers</w:t>
            </w:r>
          </w:p>
        </w:tc>
      </w:tr>
      <w:tr>
        <w:tc>
          <w:tcPr>
            <w:tcW w:type="dxa" w:w="2160"/>
          </w:tcPr>
          <w:p>
            <w:r>
              <w:t>Tertiary</w:t>
            </w:r>
          </w:p>
        </w:tc>
        <w:tc>
          <w:tcPr>
            <w:tcW w:type="dxa" w:w="2160"/>
          </w:tcPr>
          <w:p>
            <w:r>
              <w:t>SPTN Light Green</w:t>
            </w:r>
          </w:p>
        </w:tc>
        <w:tc>
          <w:tcPr>
            <w:tcW w:type="dxa" w:w="2160"/>
          </w:tcPr>
          <w:p>
            <w:r>
              <w:t>#A4D65E</w:t>
            </w:r>
          </w:p>
        </w:tc>
        <w:tc>
          <w:tcPr>
            <w:tcW w:type="dxa" w:w="2160"/>
          </w:tcPr>
          <w:p>
            <w:r>
              <w:t>Positive indicators</w:t>
            </w:r>
          </w:p>
        </w:tc>
      </w:tr>
      <w:tr>
        <w:tc>
          <w:tcPr>
            <w:tcW w:type="dxa" w:w="2160"/>
          </w:tcPr>
          <w:p>
            <w:r>
              <w:t>Neutral</w:t>
            </w:r>
          </w:p>
        </w:tc>
        <w:tc>
          <w:tcPr>
            <w:tcW w:type="dxa" w:w="2160"/>
          </w:tcPr>
          <w:p>
            <w:r>
              <w:t>Dark Gray</w:t>
            </w:r>
          </w:p>
        </w:tc>
        <w:tc>
          <w:tcPr>
            <w:tcW w:type="dxa" w:w="2160"/>
          </w:tcPr>
          <w:p>
            <w:r>
              <w:t>#525051</w:t>
            </w:r>
          </w:p>
        </w:tc>
        <w:tc>
          <w:tcPr>
            <w:tcW w:type="dxa" w:w="2160"/>
          </w:tcPr>
          <w:p>
            <w:r>
              <w:t>Labels, text</w:t>
            </w:r>
          </w:p>
        </w:tc>
      </w:tr>
    </w:tbl>
    <w:p>
      <w:pPr>
        <w:pStyle w:val="Heading1"/>
      </w:pPr>
      <w:r>
        <w:t>8. Quick Reference - Color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Role / Element</w:t>
            </w:r>
          </w:p>
        </w:tc>
        <w:tc>
          <w:tcPr>
            <w:tcW w:type="dxa" w:w="2160"/>
          </w:tcPr>
          <w:p>
            <w:r>
              <w:t>Hex</w:t>
            </w:r>
          </w:p>
        </w:tc>
        <w:tc>
          <w:tcPr>
            <w:tcW w:type="dxa" w:w="2160"/>
          </w:tcPr>
          <w:p>
            <w:r>
              <w:t>Sample</w:t>
            </w:r>
          </w:p>
        </w:tc>
      </w:tr>
      <w:tr>
        <w:tc>
          <w:tcPr>
            <w:tcW w:type="dxa" w:w="2160"/>
          </w:tcPr>
          <w:p>
            <w:r>
              <w:t>Corporate</w:t>
            </w:r>
          </w:p>
        </w:tc>
        <w:tc>
          <w:tcPr>
            <w:tcW w:type="dxa" w:w="2160"/>
          </w:tcPr>
          <w:p>
            <w:r>
              <w:t>SPTN Dark Green</w:t>
            </w:r>
          </w:p>
        </w:tc>
        <w:tc>
          <w:tcPr>
            <w:tcW w:type="dxa" w:w="2160"/>
          </w:tcPr>
          <w:p>
            <w:r>
              <w:t>#006A52</w:t>
            </w:r>
          </w:p>
        </w:tc>
        <w:tc>
          <w:tcPr>
            <w:tcW w:type="dxa" w:w="2160"/>
            <w:shd w:fill="006A52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SPTN Mid Green</w:t>
            </w:r>
          </w:p>
        </w:tc>
        <w:tc>
          <w:tcPr>
            <w:tcW w:type="dxa" w:w="2160"/>
          </w:tcPr>
          <w:p>
            <w:r>
              <w:t>#43B02A</w:t>
            </w:r>
          </w:p>
        </w:tc>
        <w:tc>
          <w:tcPr>
            <w:tcW w:type="dxa" w:w="2160"/>
            <w:shd w:fill="43B02A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SPTN Light Green</w:t>
            </w:r>
          </w:p>
        </w:tc>
        <w:tc>
          <w:tcPr>
            <w:tcW w:type="dxa" w:w="2160"/>
          </w:tcPr>
          <w:p>
            <w:r>
              <w:t>#A4D65E</w:t>
            </w:r>
          </w:p>
        </w:tc>
        <w:tc>
          <w:tcPr>
            <w:tcW w:type="dxa" w:w="2160"/>
            <w:shd w:fill="A4D65E"/>
          </w:tcPr>
          <w:p/>
        </w:tc>
      </w:tr>
      <w:tr>
        <w:tc>
          <w:tcPr>
            <w:tcW w:type="dxa" w:w="2160"/>
          </w:tcPr>
          <w:p>
            <w:r>
              <w:t>Semantic</w:t>
            </w:r>
          </w:p>
        </w:tc>
        <w:tc>
          <w:tcPr>
            <w:tcW w:type="dxa" w:w="2160"/>
          </w:tcPr>
          <w:p>
            <w:r>
              <w:t>Good / Positive</w:t>
            </w:r>
          </w:p>
        </w:tc>
        <w:tc>
          <w:tcPr>
            <w:tcW w:type="dxa" w:w="2160"/>
          </w:tcPr>
          <w:p>
            <w:r>
              <w:t>#A4D65E</w:t>
            </w:r>
          </w:p>
        </w:tc>
        <w:tc>
          <w:tcPr>
            <w:tcW w:type="dxa" w:w="2160"/>
            <w:shd w:fill="A4D65E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Neutral / Info</w:t>
            </w:r>
          </w:p>
        </w:tc>
        <w:tc>
          <w:tcPr>
            <w:tcW w:type="dxa" w:w="2160"/>
          </w:tcPr>
          <w:p>
            <w:r>
              <w:t>#3D7AA9</w:t>
            </w:r>
          </w:p>
        </w:tc>
        <w:tc>
          <w:tcPr>
            <w:tcW w:type="dxa" w:w="2160"/>
            <w:shd w:fill="3D7AA9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Bad / Negative</w:t>
            </w:r>
          </w:p>
        </w:tc>
        <w:tc>
          <w:tcPr>
            <w:tcW w:type="dxa" w:w="2160"/>
          </w:tcPr>
          <w:p>
            <w:r>
              <w:t>#EB1316</w:t>
            </w:r>
          </w:p>
        </w:tc>
        <w:tc>
          <w:tcPr>
            <w:tcW w:type="dxa" w:w="2160"/>
            <w:shd w:fill="EB1316"/>
          </w:tcPr>
          <w:p/>
        </w:tc>
      </w:tr>
      <w:tr>
        <w:tc>
          <w:tcPr>
            <w:tcW w:type="dxa" w:w="2160"/>
          </w:tcPr>
          <w:p>
            <w:r>
              <w:t>Scale</w:t>
            </w:r>
          </w:p>
        </w:tc>
        <w:tc>
          <w:tcPr>
            <w:tcW w:type="dxa" w:w="2160"/>
          </w:tcPr>
          <w:p>
            <w:r>
              <w:t>Maximum</w:t>
            </w:r>
          </w:p>
        </w:tc>
        <w:tc>
          <w:tcPr>
            <w:tcW w:type="dxa" w:w="2160"/>
          </w:tcPr>
          <w:p>
            <w:r>
              <w:t>#700017</w:t>
            </w:r>
          </w:p>
        </w:tc>
        <w:tc>
          <w:tcPr>
            <w:tcW w:type="dxa" w:w="2160"/>
            <w:shd w:fill="700017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Center</w:t>
            </w:r>
          </w:p>
        </w:tc>
        <w:tc>
          <w:tcPr>
            <w:tcW w:type="dxa" w:w="2160"/>
          </w:tcPr>
          <w:p>
            <w:r>
              <w:t>#ED6102</w:t>
            </w:r>
          </w:p>
        </w:tc>
        <w:tc>
          <w:tcPr>
            <w:tcW w:type="dxa" w:w="2160"/>
            <w:shd w:fill="ED6102"/>
          </w:tcPr>
          <w:p/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Minimum</w:t>
            </w:r>
          </w:p>
        </w:tc>
        <w:tc>
          <w:tcPr>
            <w:tcW w:type="dxa" w:w="2160"/>
          </w:tcPr>
          <w:p>
            <w:r>
              <w:t>#FFBE0E</w:t>
            </w:r>
          </w:p>
        </w:tc>
        <w:tc>
          <w:tcPr>
            <w:tcW w:type="dxa" w:w="2160"/>
            <w:shd w:fill="FFBE0E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