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SpartanNash - UI Design Specification</w:t>
      </w:r>
    </w:p>
    <w:p>
      <w:pPr>
        <w:pStyle w:val="Quote"/>
      </w:pPr>
      <w:r>
        <w:t>Version: 1.2</w:t>
      </w:r>
    </w:p>
    <w:p>
      <w:pPr>
        <w:pStyle w:val="Quote"/>
      </w:pPr>
      <w:r>
        <w:t>Date: March 20, 2026</w:t>
      </w:r>
    </w:p>
    <w:p>
      <w:pPr>
        <w:pStyle w:val="Quote"/>
      </w:pPr>
      <w:r>
        <w:t>Purpose: Developer reference for building applications, dashboards, and reports aligned with the SpartanNash brand identity.</w:t>
      </w:r>
    </w:p>
    <w:p>
      <w:pPr>
        <w:pStyle w:val="Heading1"/>
      </w:pPr>
      <w:r>
        <w:t>1. Corporate Color Palette</w:t>
      </w:r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Visual headers, primary titles, navigation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Section headers, primary actions</w:t>
            </w:r>
          </w:p>
        </w:tc>
      </w:tr>
      <w:tr>
        <w:tc>
          <w:tcPr>
            <w:tcW w:type="dxa" w:w="2160"/>
          </w:tcPr>
          <w:p>
            <w:r>
              <w:t>Tertiary</w:t>
            </w:r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Secondary elements, positive indicators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Page backgrounds, card surfaces</w:t>
            </w:r>
          </w:p>
        </w:tc>
      </w:tr>
      <w:tr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Dark Gray</w:t>
            </w:r>
          </w:p>
        </w:tc>
        <w:tc>
          <w:tcPr>
            <w:tcW w:type="dxa" w:w="2160"/>
          </w:tcPr>
          <w:p>
            <w:r>
              <w:t>#525051</w:t>
            </w:r>
          </w:p>
        </w:tc>
        <w:tc>
          <w:tcPr>
            <w:tcW w:type="dxa" w:w="2160"/>
          </w:tcPr>
          <w:p>
            <w:r>
              <w:t>Labels, axis text, informational text</w:t>
            </w:r>
          </w:p>
        </w:tc>
      </w:tr>
    </w:tbl>
    <w:p>
      <w:pPr>
        <w:pStyle w:val="Heading2"/>
      </w:pPr>
      <w:r>
        <w:t>1.1 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Hex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#CCE1DC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#E4E4E5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>
      <w:pPr>
        <w:pStyle w:val="Heading1"/>
      </w:pPr>
      <w:r>
        <w:t>2. Data Visualization Palette</w:t>
      </w:r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Primary Use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Default / first series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Second 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Third 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#FFC72C</w:t>
            </w:r>
          </w:p>
        </w:tc>
        <w:tc>
          <w:tcPr>
            <w:tcW w:type="dxa" w:w="2160"/>
          </w:tcPr>
          <w:p>
            <w:r>
              <w:t>Fourth series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Teal Gray</w:t>
            </w:r>
          </w:p>
        </w:tc>
        <w:tc>
          <w:tcPr>
            <w:tcW w:type="dxa" w:w="2160"/>
          </w:tcPr>
          <w:p>
            <w:r>
              <w:t>#99C3BA</w:t>
            </w:r>
          </w:p>
        </w:tc>
        <w:tc>
          <w:tcPr>
            <w:tcW w:type="dxa" w:w="2160"/>
          </w:tcPr>
          <w:p>
            <w:r>
              <w:t>Fifth 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Sage Green</w:t>
            </w:r>
          </w:p>
        </w:tc>
        <w:tc>
          <w:tcPr>
            <w:tcW w:type="dxa" w:w="2160"/>
          </w:tcPr>
          <w:p>
            <w:r>
              <w:t>#8ED07F</w:t>
            </w:r>
          </w:p>
        </w:tc>
        <w:tc>
          <w:tcPr>
            <w:tcW w:type="dxa" w:w="2160"/>
          </w:tcPr>
          <w:p>
            <w:r>
              <w:t>Sixth 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Pale Green</w:t>
            </w:r>
          </w:p>
        </w:tc>
        <w:tc>
          <w:tcPr>
            <w:tcW w:type="dxa" w:w="2160"/>
          </w:tcPr>
          <w:p>
            <w:r>
              <w:t>#C8E69E</w:t>
            </w:r>
          </w:p>
        </w:tc>
        <w:tc>
          <w:tcPr>
            <w:tcW w:type="dxa" w:w="2160"/>
          </w:tcPr>
          <w:p>
            <w:r>
              <w:t>Seventh series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Pale Gold</w:t>
            </w:r>
          </w:p>
        </w:tc>
        <w:tc>
          <w:tcPr>
            <w:tcW w:type="dxa" w:w="2160"/>
          </w:tcPr>
          <w:p>
            <w:r>
              <w:t>#FFDD80</w:t>
            </w:r>
          </w:p>
        </w:tc>
        <w:tc>
          <w:tcPr>
            <w:tcW w:type="dxa" w:w="2160"/>
          </w:tcPr>
          <w:p>
            <w:r>
              <w:t>Eighth series</w:t>
            </w:r>
          </w:p>
        </w:tc>
      </w:tr>
      <w:tr>
        <w:tc>
          <w:tcPr>
            <w:tcW w:type="dxa" w:w="2160"/>
          </w:tcPr>
          <w:p>
            <w:r>
              <w:t>9-14</w:t>
            </w:r>
          </w:p>
        </w:tc>
        <w:tc>
          <w:tcPr>
            <w:tcW w:type="dxa" w:w="2160"/>
          </w:tcPr>
          <w:p>
            <w:r>
              <w:t>Extended Palette</w:t>
            </w:r>
          </w:p>
        </w:tc>
        <w:tc>
          <w:tcPr>
            <w:tcW w:type="dxa" w:w="2160"/>
          </w:tcPr>
          <w:p>
            <w:r>
              <w:t>Varied</w:t>
            </w:r>
          </w:p>
        </w:tc>
        <w:tc>
          <w:tcPr>
            <w:tcW w:type="dxa" w:w="2160"/>
          </w:tcPr>
          <w:p>
            <w:r>
              <w:t>See Section 8 for samples</w:t>
            </w:r>
          </w:p>
        </w:tc>
      </w:tr>
    </w:tbl>
    <w:p>
      <w:pPr>
        <w:pStyle w:val="Heading2"/>
      </w:pPr>
      <w:r>
        <w:t>2.1 Semantic Colors &amp; Conditional Formatting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 Notes</w:t>
            </w:r>
          </w:p>
        </w:tc>
      </w:tr>
      <w:tr>
        <w:tc>
          <w:tcPr>
            <w:tcW w:type="dxa" w:w="2160"/>
          </w:tcPr>
          <w:p>
            <w:r>
              <w:t>✅ Good / Positive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KPIs hitting target, success states.</w:t>
            </w:r>
          </w:p>
        </w:tc>
      </w:tr>
      <w:tr>
        <w:tc>
          <w:tcPr>
            <w:tcW w:type="dxa" w:w="2160"/>
          </w:tcPr>
          <w:p>
            <w:r>
              <w:t>⚠️ Neutral / Info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  <w:tc>
          <w:tcPr>
            <w:tcW w:type="dxa" w:w="2160"/>
          </w:tcPr>
          <w:p>
            <w:r>
              <w:t>#3D7AA9</w:t>
            </w:r>
          </w:p>
        </w:tc>
        <w:tc>
          <w:tcPr>
            <w:tcW w:type="dxa" w:w="2160"/>
          </w:tcPr>
          <w:p>
            <w:r>
              <w:t>Informational callouts.</w:t>
            </w:r>
          </w:p>
        </w:tc>
      </w:tr>
      <w:tr>
        <w:tc>
          <w:tcPr>
            <w:tcW w:type="dxa" w:w="2160"/>
          </w:tcPr>
          <w:p>
            <w:r>
              <w:t>❌ Bad / Negative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</w:tcPr>
          <w:p>
            <w:r>
              <w:t>Missing targets, errors.</w:t>
            </w:r>
          </w:p>
        </w:tc>
      </w:tr>
      <w:tr>
        <w:tc>
          <w:tcPr>
            <w:tcW w:type="dxa" w:w="2160"/>
          </w:tcPr>
          <w:p>
            <w:r>
              <w:t>▲ Increase (waterfall)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Positive flow.</w:t>
            </w:r>
          </w:p>
        </w:tc>
      </w:tr>
      <w:tr>
        <w:tc>
          <w:tcPr>
            <w:tcW w:type="dxa" w:w="2160"/>
          </w:tcPr>
          <w:p>
            <w:r>
              <w:t>▼ Decrease (waterfall)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</w:tcPr>
          <w:p>
            <w:r>
              <w:t>Negative flow.</w:t>
            </w:r>
          </w:p>
        </w:tc>
      </w:tr>
      <w:tr>
        <w:tc>
          <w:tcPr>
            <w:tcW w:type="dxa" w:w="2160"/>
          </w:tcPr>
          <w:p>
            <w:r>
              <w:t>■ Total (waterfall)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Neutral aggregation.</w:t>
            </w:r>
          </w:p>
        </w:tc>
      </w:tr>
    </w:tbl>
    <w:p>
      <w:pPr>
        <w:pStyle w:val="Heading1"/>
      </w:pPr>
      <w:r>
        <w:t>3. Typography</w:t>
      </w:r>
    </w:p>
    <w:p>
      <w:pPr>
        <w:pStyle w:val="Quote"/>
      </w:pPr>
      <w:r>
        <w:t>[!IMPORTANT]</w:t>
      </w:r>
    </w:p>
    <w:p>
      <w:pPr>
        <w:pStyle w:val="Quote"/>
      </w:pPr>
      <w:r>
        <w:t>Arial is the approved font family across all deliverables.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#006A52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#006A52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10.5px</w:t>
            </w:r>
          </w:p>
        </w:tc>
        <w:tc>
          <w:tcPr>
            <w:tcW w:type="dxa" w:w="1728"/>
          </w:tcPr>
          <w:p>
            <w:r>
              <w:t>#43B02A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 on #FFFFFF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>
      <w:pPr>
        <w:pStyle w:val="Heading1"/>
      </w:pPr>
      <w:r>
        <w:t>4. Component Specifications</w:t>
      </w:r>
    </w:p>
    <w:p>
      <w:pPr>
        <w:pStyle w:val="Heading2"/>
      </w:pPr>
      <w:r>
        <w:t>4.1 Cards (KPI / Metric)</w:t>
      </w:r>
    </w:p>
    <w:p/>
    <w:p>
      <w:r>
        <w:rPr>
          <w:rFonts w:ascii="Courier New" w:hAnsi="Courier New"/>
          <w:sz w:val="18"/>
        </w:rPr>
        <w:t>┌──────────────────────────┐</w:t>
      </w:r>
    </w:p>
    <w:p>
      <w:r>
        <w:rPr>
          <w:rFonts w:ascii="Courier New" w:hAnsi="Courier New"/>
          <w:sz w:val="18"/>
        </w:rPr>
        <w:t>│  [Visual Title]          │  Arial Bold 11px #006A52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│       1,234              │  Arial Bold 16px #000000</w:t>
      </w:r>
    </w:p>
    <w:p>
      <w:r>
        <w:rPr>
          <w:rFonts w:ascii="Courier New" w:hAnsi="Courier New"/>
          <w:sz w:val="18"/>
        </w:rPr>
        <w:t>│    Category Label        │  Arial Regular 10px #525051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└──────────────────────────┘</w:t>
      </w:r>
    </w:p>
    <w:p>
      <w:r>
        <w:rPr>
          <w:rFonts w:ascii="Courier New" w:hAnsi="Courier New"/>
          <w:sz w:val="18"/>
        </w:rPr>
        <w:t xml:space="preserve">  Background: #FFFFFF</w:t>
      </w:r>
    </w:p>
    <w:p>
      <w:r>
        <w:rPr>
          <w:rFonts w:ascii="Courier New" w:hAnsi="Courier New"/>
          <w:sz w:val="18"/>
        </w:rPr>
        <w:t xml:space="preserve">  Border: Solid #A1A1A1, weight 1px</w:t>
      </w:r>
    </w:p>
    <w:p>
      <w:r>
        <w:rPr>
          <w:rFonts w:ascii="Courier New" w:hAnsi="Courier New"/>
          <w:sz w:val="18"/>
        </w:rPr>
        <w:t xml:space="preserve">  Border Radius: 16px</w:t>
      </w:r>
    </w:p>
    <w:p>
      <w:r>
        <w:rPr>
          <w:rFonts w:ascii="Courier New" w:hAnsi="Courier New"/>
          <w:sz w:val="18"/>
        </w:rPr>
        <w:t xml:space="preserve">  Padding: 8px</w:t>
      </w:r>
    </w:p>
    <w:p>
      <w:pPr>
        <w:pStyle w:val="Heading2"/>
      </w:pPr>
      <w:r>
        <w:t>4.2 Tables</w:t>
      </w:r>
    </w:p>
    <w:p/>
    <w:p>
      <w:r>
        <w:rPr>
          <w:rFonts w:ascii="Courier New" w:hAnsi="Courier New"/>
          <w:sz w:val="18"/>
        </w:rPr>
        <w:t>┌──────────────┬────────────┬───────────┐</w:t>
      </w:r>
    </w:p>
    <w:p>
      <w:r>
        <w:rPr>
          <w:rFonts w:ascii="Courier New" w:hAnsi="Courier New"/>
          <w:sz w:val="18"/>
        </w:rPr>
        <w:t>│  Column A    │  Column B  │  Column C │  Header: #000000 on #FFFFFF, Arial Bold 10px</w:t>
      </w:r>
    </w:p>
    <w:p>
      <w:r>
        <w:rPr>
          <w:rFonts w:ascii="Courier New" w:hAnsi="Courier New"/>
          <w:sz w:val="18"/>
        </w:rPr>
        <w:t>|              |            |           |  Outline: Bottom Only #A1A1A1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Data Row 1  │  value     │  value    │  Row: Arial 10px, #000000, Background #FFFFFF</w:t>
      </w:r>
    </w:p>
    <w:p>
      <w:r>
        <w:rPr>
          <w:rFonts w:ascii="Courier New" w:hAnsi="Courier New"/>
          <w:sz w:val="18"/>
        </w:rPr>
        <w:t>│  Data Row 2  │  value     │  value    │  Alt Row: Background #E4E4E5</w:t>
      </w:r>
    </w:p>
    <w:p>
      <w:r>
        <w:rPr>
          <w:rFonts w:ascii="Courier New" w:hAnsi="Courier New"/>
          <w:sz w:val="18"/>
        </w:rPr>
        <w:t>└──────────────┴────────────┴───────────┘</w:t>
      </w:r>
    </w:p>
    <w:p>
      <w:pPr>
        <w:pStyle w:val="Heading2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Foreground</w:t>
            </w:r>
          </w:p>
        </w:tc>
        <w:tc>
          <w:tcPr>
            <w:tcW w:type="dxa" w:w="1728"/>
          </w:tcPr>
          <w:p>
            <w: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#E4E4E5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#A4D65E</w:t>
            </w:r>
          </w:p>
        </w:tc>
      </w:tr>
    </w:tbl>
    <w:p>
      <w:pPr>
        <w:pStyle w:val="Heading2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#006A52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#525051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#CCE1DC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#525051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#525051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#006A52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10px, #000000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#006A52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#525051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16px, #000000</w:t>
            </w:r>
          </w:p>
        </w:tc>
      </w:tr>
    </w:tbl>
    <w:p>
      <w:pPr>
        <w:pStyle w:val="Heading2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1px #006A52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#E4E4E5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1px #006A52</w:t>
            </w:r>
          </w:p>
        </w:tc>
      </w:tr>
    </w:tbl>
    <w:p>
      <w:pPr>
        <w:pStyle w:val="Heading2"/>
      </w:pPr>
      <w:r>
        <w:t>4.8 Text Boxes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#006A52</w:t>
            </w:r>
          </w:p>
        </w:tc>
      </w:tr>
      <w:tr>
        <w:tc>
          <w:tcPr>
            <w:tcW w:type="dxa" w:w="4320"/>
          </w:tcPr>
          <w:p>
            <w:r>
              <w:t>Text Color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1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Globally applied to visual borders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1px</w:t>
            </w:r>
          </w:p>
        </w:tc>
        <w:tc>
          <w:tcPr>
            <w:tcW w:type="dxa" w:w="2880"/>
          </w:tcPr>
          <w:p>
            <w:r>
              <w:t>Applied to visual containers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2px 4px #A1A1A1</w:t>
            </w:r>
          </w:p>
        </w:tc>
        <w:tc>
          <w:tcPr>
            <w:tcW w:type="dxa" w:w="2880"/>
          </w:tcPr>
          <w:p>
            <w:r>
              <w:t>(Optional) Subtle card drop shadows</w:t>
            </w:r>
          </w:p>
        </w:tc>
      </w:tr>
    </w:tbl>
    <w:p>
      <w:pPr>
        <w:pStyle w:val="Heading1"/>
      </w:pPr>
      <w:r>
        <w:t>6. Accessibility Notes</w:t>
      </w:r>
    </w:p>
    <w:p>
      <w:pPr>
        <w:pStyle w:val="ListBullet"/>
      </w:pPr>
      <w:r>
        <w:t>All body text must be Black (#000000) on white backgrounds for maximum contrast</w:t>
      </w:r>
    </w:p>
    <w:p>
      <w:pPr>
        <w:pStyle w:val="ListBullet"/>
      </w:pPr>
      <w:r>
        <w:t>Avoid using color alone to convey meaning — always pair with labels or icons</w:t>
      </w:r>
    </w:p>
    <w:p>
      <w:pPr>
        <w:pStyle w:val="ListBullet"/>
      </w:pPr>
      <w:r>
        <w:t>Minimum font size: 10px for any readable text</w:t>
      </w:r>
    </w:p>
    <w:p>
      <w:pPr>
        <w:pStyle w:val="ListBullet"/>
      </w:pPr>
      <w:r>
        <w:t>Secondary series colors (Yellow/Gold) should only be used for filled shapes, not for text on white</w:t>
      </w:r>
    </w:p>
    <w:p>
      <w:pPr>
        <w:pStyle w:val="ListBullet"/>
      </w:pPr>
      <w:r>
        <w:t>Use distinct icons (▲ ▼) for variance metrics to support color-blind users</w:t>
      </w:r>
    </w:p>
    <w:p>
      <w:pPr>
        <w:pStyle w:val="Heading1"/>
      </w:pPr>
      <w:r>
        <w:t>7. Power BI Theme File</w:t>
      </w:r>
    </w:p>
    <w:p>
      <w:r>
        <w:t>The companion Power BI theme JSON for SpartanNash is available at:</w:t>
      </w:r>
    </w:p>
    <w:p>
      <w:r>
        <w:t>[SpartanNash Theme.json](file:///C:/GIT/FUAM/themes/SpartanNash%20Theme.json)</w:t>
      </w:r>
    </w:p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 / Element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  <w:shd w:fill="006A5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  <w:shd w:fill="43B02A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Neutral</w:t>
            </w:r>
          </w:p>
        </w:tc>
        <w:tc>
          <w:tcPr>
            <w:tcW w:type="dxa" w:w="2160"/>
          </w:tcPr>
          <w:p>
            <w:r>
              <w:t>#525051</w:t>
            </w:r>
          </w:p>
        </w:tc>
        <w:tc>
          <w:tcPr>
            <w:tcW w:type="dxa" w:w="2160"/>
            <w:shd w:fill="525051"/>
          </w:tcPr>
          <w:p/>
        </w:tc>
      </w:tr>
      <w:tr>
        <w:tc>
          <w:tcPr>
            <w:tcW w:type="dxa" w:w="2160"/>
          </w:tcPr>
          <w:p>
            <w:r>
              <w:t>Surfaces</w:t>
            </w:r>
          </w:p>
        </w:tc>
        <w:tc>
          <w:tcPr>
            <w:tcW w:type="dxa" w:w="2160"/>
          </w:tcPr>
          <w:p>
            <w:r>
              <w:t>Divider / Grid</w:t>
            </w:r>
          </w:p>
        </w:tc>
        <w:tc>
          <w:tcPr>
            <w:tcW w:type="dxa" w:w="2160"/>
          </w:tcPr>
          <w:p>
            <w:r>
              <w:t>#CCE1DC</w:t>
            </w:r>
          </w:p>
        </w:tc>
        <w:tc>
          <w:tcPr>
            <w:tcW w:type="dxa" w:w="2160"/>
            <w:shd w:fill="CCE1DC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Alternating Row</w:t>
            </w:r>
          </w:p>
        </w:tc>
        <w:tc>
          <w:tcPr>
            <w:tcW w:type="dxa" w:w="2160"/>
          </w:tcPr>
          <w:p>
            <w:r>
              <w:t>#E4E4E5</w:t>
            </w:r>
          </w:p>
        </w:tc>
        <w:tc>
          <w:tcPr>
            <w:tcW w:type="dxa" w:w="2160"/>
            <w:shd w:fill="E4E4E5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 / Positive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Neutral / Info</w:t>
            </w:r>
          </w:p>
        </w:tc>
        <w:tc>
          <w:tcPr>
            <w:tcW w:type="dxa" w:w="2160"/>
          </w:tcPr>
          <w:p>
            <w:r>
              <w:t>#3D7AA9</w:t>
            </w:r>
          </w:p>
        </w:tc>
        <w:tc>
          <w:tcPr>
            <w:tcW w:type="dxa" w:w="2160"/>
            <w:shd w:fill="3D7AA9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 / Negative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  <w:shd w:fill="EB1316"/>
          </w:tcPr>
          <w:p/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Maximum (Good)</w:t>
            </w:r>
          </w:p>
        </w:tc>
        <w:tc>
          <w:tcPr>
            <w:tcW w:type="dxa" w:w="2160"/>
          </w:tcPr>
          <w:p>
            <w:r>
              <w:t>#700017</w:t>
            </w:r>
          </w:p>
        </w:tc>
        <w:tc>
          <w:tcPr>
            <w:tcW w:type="dxa" w:w="2160"/>
            <w:shd w:fill="70001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Center (Neutral)</w:t>
            </w:r>
          </w:p>
        </w:tc>
        <w:tc>
          <w:tcPr>
            <w:tcW w:type="dxa" w:w="2160"/>
          </w:tcPr>
          <w:p>
            <w:r>
              <w:t>#ED6102</w:t>
            </w:r>
          </w:p>
        </w:tc>
        <w:tc>
          <w:tcPr>
            <w:tcW w:type="dxa" w:w="2160"/>
            <w:shd w:fill="ED610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Minimum (Bad)</w:t>
            </w:r>
          </w:p>
        </w:tc>
        <w:tc>
          <w:tcPr>
            <w:tcW w:type="dxa" w:w="2160"/>
          </w:tcPr>
          <w:p>
            <w:r>
              <w:t>#FFBE0E</w:t>
            </w:r>
          </w:p>
        </w:tc>
        <w:tc>
          <w:tcPr>
            <w:tcW w:type="dxa" w:w="2160"/>
            <w:shd w:fill="FFBE0E"/>
          </w:tcPr>
          <w:p/>
        </w:tc>
      </w:tr>
    </w:tbl>
    <w:p>
      <w:pPr>
        <w:pStyle w:val="Heading1"/>
      </w:pPr>
      <w:r>
        <w:t>Document History</w:t>
      </w:r>
    </w:p>
    <w:p>
      <w:pPr>
        <w:pStyle w:val="ListBullet"/>
      </w:pPr>
      <w:r>
        <w:t>v1.2 (March 20, 2026): Added 1.1 Surface section and expanded Section 3 Typography for 100% parity with C&amp;S detail levels.</w:t>
      </w:r>
    </w:p>
    <w:p>
      <w:pPr>
        <w:pStyle w:val="ListBullet"/>
      </w:pPr>
      <w:r>
        <w:t>v1.1 (March 20, 2026): Added extended color palette colors and button specifications.</w:t>
      </w:r>
    </w:p>
    <w:p>
      <w:pPr>
        <w:pStyle w:val="ListBullet"/>
      </w:pPr>
      <w:r>
        <w:t>v1.0 (March 20, 2026): Initial UI design specification migration.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