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C&amp;S Wholesale Grocers - UI Design Specification</w:t>
      </w:r>
    </w:p>
    <w:p>
      <w:r>
        <w:rPr>
          <w:i/>
        </w:rPr>
        <w:t>**Version:** 1.0</w:t>
      </w:r>
    </w:p>
    <w:p>
      <w:r>
        <w:rPr>
          <w:i/>
        </w:rPr>
        <w:t>**Date:** March 19, 2026</w:t>
      </w:r>
    </w:p>
    <w:p>
      <w:r>
        <w:rPr>
          <w:i/>
        </w:rPr>
        <w:t>**Purpose:** Developer reference for building applications, dashboards, and reports aligned with the C&amp;S Wholesale Grocers brand identity.</w:t>
      </w:r>
    </w:p>
    <w:p>
      <w:pPr>
        <w:pStyle w:val="Heading2"/>
      </w:pPr>
      <w:r>
        <w:t>1. Corporate Color Palette</w:t>
      </w:r>
    </w:p>
    <w:p>
      <w:r/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728"/>
          </w:tcPr>
          <w:p>
            <w:r>
              <w:t>Primary</w:t>
            </w:r>
          </w:p>
        </w:tc>
        <w:tc>
          <w:tcPr>
            <w:tcW w:type="dxa" w:w="1728"/>
          </w:tcPr>
          <w:p>
            <w:r>
              <w:t>C&amp;S 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Logo, primary actions, headers, active states, alerts</w:t>
            </w:r>
          </w:p>
        </w:tc>
      </w:tr>
      <w:tr>
        <w:tc>
          <w:tcPr>
            <w:tcW w:type="dxa" w:w="1728"/>
          </w:tcPr>
          <w:p>
            <w:r>
              <w:t>Secondary</w:t>
            </w:r>
          </w:p>
        </w:tc>
        <w:tc>
          <w:tcPr>
            <w:tcW w:type="dxa" w:w="1728"/>
          </w:tcPr>
          <w:p>
            <w:r>
              <w:t>Corporate 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Body text, secondary elements, axis labels, borders</w:t>
            </w:r>
          </w:p>
        </w:tc>
      </w:tr>
      <w:tr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Black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Body copy, data values, maximum readability contexts</w:t>
            </w:r>
          </w:p>
        </w:tc>
      </w:tr>
      <w:tr>
        <w:tc>
          <w:tcPr>
            <w:tcW w:type="dxa" w:w="1728"/>
          </w:tcPr>
          <w:p>
            <w:r>
              <w:t>Background</w:t>
            </w:r>
          </w:p>
        </w:tc>
        <w:tc>
          <w:tcPr>
            <w:tcW w:type="dxa" w:w="1728"/>
          </w:tcPr>
          <w:p>
            <w:r>
              <w:t>White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Page backgrounds, card surfaces, clean space</w:t>
            </w:r>
          </w:p>
        </w:tc>
      </w:tr>
    </w:tbl>
    <w:p/>
    <w:p>
      <w:pPr>
        <w:pStyle w:val="Heading3"/>
      </w:pPr>
      <w:r>
        <w:t>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/>
    <w:p>
      <w:pPr>
        <w:pStyle w:val="Heading2"/>
      </w:pPr>
      <w:r>
        <w:t>2. Data Visualization Palette</w:t>
      </w:r>
    </w:p>
    <w:p>
      <w:r/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Primary Use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Default / first series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Dark Blue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  <w:tc>
          <w:tcPr>
            <w:tcW w:type="dxa" w:w="1728"/>
          </w:tcPr>
          <w:p>
            <w:r>
              <w:t>Second series, totals, secondary KPIs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Lime Green</w:t>
            </w:r>
          </w:p>
        </w:tc>
        <w:tc>
          <w:tcPr>
            <w:tcW w:type="dxa" w:w="1728"/>
          </w:tcPr>
          <w:p>
            <w:r>
              <w:t>#79BE2E</w:t>
            </w:r>
          </w:p>
        </w:tc>
        <w:tc>
          <w:tcPr>
            <w:tcW w:type="dxa" w:w="1728"/>
          </w:tcPr>
          <w:p>
            <w:r>
              <w:t>Third series, positive indicators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Magenta</w:t>
            </w:r>
          </w:p>
        </w:tc>
        <w:tc>
          <w:tcPr>
            <w:tcW w:type="dxa" w:w="1728"/>
          </w:tcPr>
          <w:p>
            <w:r>
              <w:t>#9F2C92</w:t>
            </w:r>
          </w:p>
        </w:tc>
        <w:tc>
          <w:tcPr>
            <w:tcW w:type="dxa" w:w="1728"/>
          </w:tcPr>
          <w:p>
            <w:r>
              <w:t>Fourth series, categorical contrast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Orange</w:t>
            </w:r>
          </w:p>
        </w:tc>
        <w:tc>
          <w:tcPr>
            <w:tcW w:type="dxa" w:w="1728"/>
          </w:tcPr>
          <w:p>
            <w:r>
              <w:t>#E7703A</w:t>
            </w:r>
          </w:p>
        </w:tc>
        <w:tc>
          <w:tcPr>
            <w:tcW w:type="dxa" w:w="1728"/>
          </w:tcPr>
          <w:p>
            <w:r>
              <w:t>Fifth series, warnings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Light Blue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  <w:tc>
          <w:tcPr>
            <w:tcW w:type="dxa" w:w="1728"/>
          </w:tcPr>
          <w:p>
            <w:r>
              <w:t>Sixth series, informational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Dark Green</w:t>
            </w:r>
          </w:p>
        </w:tc>
        <w:tc>
          <w:tcPr>
            <w:tcW w:type="dxa" w:w="1728"/>
          </w:tcPr>
          <w:p>
            <w:r>
              <w:t>#1C6B27</w:t>
            </w:r>
          </w:p>
        </w:tc>
        <w:tc>
          <w:tcPr>
            <w:tcW w:type="dxa" w:w="1728"/>
          </w:tcPr>
          <w:p>
            <w:r>
              <w:t>Seventh series, success states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Eighth series, neutral/baseline</w:t>
            </w:r>
          </w:p>
        </w:tc>
      </w:tr>
    </w:tbl>
    <w:p/>
    <w:p>
      <w:pPr>
        <w:pStyle w:val="Heading3"/>
      </w:pPr>
      <w:r>
        <w:t>Semantic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</w:tr>
      <w:tr>
        <w:tc>
          <w:tcPr>
            <w:tcW w:type="dxa" w:w="2880"/>
          </w:tcPr>
          <w:p>
            <w:r>
              <w:t>✅ Good / Positive</w:t>
            </w:r>
          </w:p>
        </w:tc>
        <w:tc>
          <w:tcPr>
            <w:tcW w:type="dxa" w:w="2880"/>
          </w:tcPr>
          <w:p>
            <w:r>
              <w:t>Dark Green</w:t>
            </w:r>
          </w:p>
        </w:tc>
        <w:tc>
          <w:tcPr>
            <w:tcW w:type="dxa" w:w="2880"/>
          </w:tcPr>
          <w:p>
            <w:r>
              <w:t>#1C6B27</w:t>
            </w:r>
          </w:p>
        </w:tc>
      </w:tr>
      <w:tr>
        <w:tc>
          <w:tcPr>
            <w:tcW w:type="dxa" w:w="2880"/>
          </w:tcPr>
          <w:p>
            <w:r>
              <w:t>⚠️ Neutral / Info</w:t>
            </w:r>
          </w:p>
        </w:tc>
        <w:tc>
          <w:tcPr>
            <w:tcW w:type="dxa" w:w="2880"/>
          </w:tcPr>
          <w:p>
            <w:r>
              <w:t>Gray</w:t>
            </w:r>
          </w:p>
        </w:tc>
        <w:tc>
          <w:tcPr>
            <w:tcW w:type="dxa" w:w="2880"/>
          </w:tcPr>
          <w:p>
            <w:r>
              <w:t>#BFBFBF</w:t>
            </w:r>
          </w:p>
        </w:tc>
      </w:tr>
      <w:tr>
        <w:tc>
          <w:tcPr>
            <w:tcW w:type="dxa" w:w="2880"/>
          </w:tcPr>
          <w:p>
            <w:r>
              <w:t>❌ Bad / Negative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▲ Increase (waterfall)</w:t>
            </w:r>
          </w:p>
        </w:tc>
        <w:tc>
          <w:tcPr>
            <w:tcW w:type="dxa" w:w="2880"/>
          </w:tcPr>
          <w:p>
            <w:r>
              <w:t>Dark Green</w:t>
            </w:r>
          </w:p>
        </w:tc>
        <w:tc>
          <w:tcPr>
            <w:tcW w:type="dxa" w:w="2880"/>
          </w:tcPr>
          <w:p>
            <w:r>
              <w:t>#1C6B27</w:t>
            </w:r>
          </w:p>
        </w:tc>
      </w:tr>
      <w:tr>
        <w:tc>
          <w:tcPr>
            <w:tcW w:type="dxa" w:w="2880"/>
          </w:tcPr>
          <w:p>
            <w:r>
              <w:t>▼ Decrease (waterfall)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■ Total (waterfall)</w:t>
            </w:r>
          </w:p>
        </w:tc>
        <w:tc>
          <w:tcPr>
            <w:tcW w:type="dxa" w:w="2880"/>
          </w:tcPr>
          <w:p>
            <w:r>
              <w:t>Dark Blue</w:t>
            </w:r>
          </w:p>
        </w:tc>
        <w:tc>
          <w:tcPr>
            <w:tcW w:type="dxa" w:w="2880"/>
          </w:tcPr>
          <w:p>
            <w:r>
              <w:t>#1282C6</w:t>
            </w:r>
          </w:p>
        </w:tc>
      </w:tr>
    </w:tbl>
    <w:p/>
    <w:p>
      <w:pPr>
        <w:pStyle w:val="Heading2"/>
      </w:pPr>
      <w:r>
        <w:t>3. Typography</w:t>
      </w:r>
    </w:p>
    <w:p>
      <w:r>
        <w:rPr>
          <w:i/>
        </w:rPr>
        <w:t>[!IMPORTANT]</w:t>
      </w:r>
    </w:p>
    <w:p>
      <w:r>
        <w:rPr>
          <w:i/>
        </w:rPr>
        <w:t>**Arial** is the sole approved font family across all deliverables. Do not use specialty or decorative fonts. This ensures cross-platform consistency between Windows and macOS.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12–14px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12px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10–11px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 on #1282C6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28px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/>
    <w:p>
      <w:pPr>
        <w:pStyle w:val="Heading2"/>
      </w:pPr>
      <w:r>
        <w:t>4. Component Specifications</w:t>
      </w:r>
    </w:p>
    <w:p>
      <w:pPr>
        <w:pStyle w:val="Heading3"/>
      </w:pPr>
      <w:r>
        <w:t>4.1 Cards (KPI / Metric)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┌──────────────────────────┐</w:t>
        <w:br/>
        <w:t>│  [Visual Title]          │  Arial Bold 12px #1282C6</w:t>
        <w:br/>
        <w:t>│                          │</w:t>
        <w:br/>
        <w:t>│       1,234              │  Arial Bold 28px #C8353D</w:t>
        <w:br/>
        <w:t>│    Total Revenue         │  Arial Regular 11px #BFBFBF</w:t>
        <w:br/>
        <w:t>│                          │</w:t>
        <w:br/>
        <w:t>└──────────────────────────┘</w:t>
        <w:br/>
        <w:t xml:space="preserve">  Background: #F2F2F2</w:t>
        <w:br/>
        <w:t xml:space="preserve">  Border: none</w:t>
        <w:br/>
        <w:t xml:space="preserve">  Drop Shadow: subtle, #E6E6E6</w:t>
        <w:br/>
        <w:t xml:space="preserve">  Padding: 8px</w:t>
      </w:r>
    </w:p>
    <w:p>
      <w:pPr>
        <w:pStyle w:val="Heading3"/>
      </w:pPr>
      <w:r>
        <w:t>4.2 Tables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┌──────────────┬────────────┬───────────┐</w:t>
        <w:br/>
        <w:t>│  Column A    │  Column B  │  Column C │  Header: #FFFFFF on #1282C6, Arial Bold 11px</w:t>
        <w:br/>
        <w:t>├──────────────┼────────────┼───────────┤</w:t>
        <w:br/>
        <w:t>│  Data Row 1  │  value     │  value    │  Row: #000000 on #FFFFFF, Arial 10px</w:t>
        <w:br/>
        <w:t>│  Data Row 2  │  value     │  value    │  Alt Row: #000000 on #F2F2F2</w:t>
        <w:br/>
        <w:t>│  Data Row 3  │  value     │  value    │</w:t>
        <w:br/>
        <w:t>├──────────────┼────────────┼───────────┤</w:t>
        <w:br/>
        <w:t>│  Total       │  value     │  value    │  Total: #FFFFFF on #1282C6, Arial Bold 11px</w:t>
        <w:br/>
        <w:t>└──────────────┴────────────┴───────────┘</w:t>
        <w:br/>
        <w:t xml:space="preserve">  Gridlines: #E6E6E6</w:t>
        <w:br/>
        <w:t xml:space="preserve">  Outline: #BFBFBF</w:t>
        <w:br/>
        <w:t xml:space="preserve">  Row Padding: 4px</w:t>
      </w:r>
    </w:p>
    <w:p>
      <w:pPr>
        <w:pStyle w:val="Heading3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Foreground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</w:tr>
    </w:tbl>
    <w:p/>
    <w:p>
      <w:pPr>
        <w:pStyle w:val="Heading3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#C8353D (cycles through dataColors for multi-series)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#E6E6E6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#1282C6</w:t>
            </w:r>
          </w:p>
        </w:tc>
      </w:tr>
      <w:tr>
        <w:tc>
          <w:tcPr>
            <w:tcW w:type="dxa" w:w="4320"/>
          </w:tcPr>
          <w:p>
            <w:r>
              <w:t>Header outline</w:t>
            </w:r>
          </w:p>
        </w:tc>
        <w:tc>
          <w:tcPr>
            <w:tcW w:type="dxa" w:w="4320"/>
          </w:tcPr>
          <w:p>
            <w:r>
              <w:t>Bottom only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11px, #000000</w:t>
            </w:r>
          </w:p>
        </w:tc>
      </w:tr>
      <w:tr>
        <w:tc>
          <w:tcPr>
            <w:tcW w:type="dxa" w:w="4320"/>
          </w:tcPr>
          <w:p>
            <w:r>
              <w:t>Outline color</w:t>
            </w:r>
          </w:p>
        </w:tc>
        <w:tc>
          <w:tcPr>
            <w:tcW w:type="dxa" w:w="4320"/>
          </w:tcPr>
          <w:p>
            <w:r>
              <w:t>#1282C6, weight 1px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#C8353D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20px, #000000</w:t>
            </w:r>
          </w:p>
        </w:tc>
      </w:tr>
    </w:tbl>
    <w:p/>
    <w:p>
      <w:pPr>
        <w:pStyle w:val="Heading3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Background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#b01e24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pPr>
        <w:pStyle w:val="Heading2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2–4px</w:t>
            </w:r>
          </w:p>
        </w:tc>
        <w:tc>
          <w:tcPr>
            <w:tcW w:type="dxa" w:w="2880"/>
          </w:tcPr>
          <w:p>
            <w:r>
              <w:t>Card corners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Borders disabled globally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1px 3px #E6E6E6</w:t>
            </w:r>
          </w:p>
        </w:tc>
        <w:tc>
          <w:tcPr>
            <w:tcW w:type="dxa" w:w="2880"/>
          </w:tcPr>
          <w:p>
            <w:r>
              <w:t>Card drop shadows</w:t>
            </w:r>
          </w:p>
        </w:tc>
      </w:tr>
    </w:tbl>
    <w:p/>
    <w:p>
      <w:pPr>
        <w:pStyle w:val="Heading2"/>
      </w:pPr>
      <w:r>
        <w:t>6. Accessibility Notes</w:t>
      </w:r>
    </w:p>
    <w:p>
      <w:pPr>
        <w:pStyle w:val="ListBullet"/>
      </w:pPr>
      <w:r>
        <w:t xml:space="preserve">All body text must be </w:t>
      </w:r>
      <w:r>
        <w:rPr>
          <w:b/>
        </w:rPr>
        <w:t>Black</w:t>
      </w:r>
      <w:r>
        <w:t xml:space="preserve"> (#000000) on white backgrounds for maximum contrast</w:t>
      </w:r>
    </w:p>
    <w:p>
      <w:pPr>
        <w:pStyle w:val="ListBullet"/>
      </w:pPr>
      <w:r>
        <w:t xml:space="preserve">White text on Red (#C8353D) and Blue (#1282C6) backgrounds meets </w:t>
      </w:r>
      <w:r>
        <w:rPr>
          <w:b/>
        </w:rPr>
        <w:t>WCAG AA</w:t>
      </w:r>
      <w:r>
        <w:t xml:space="preserve"> contrast (4.5:1+)</w:t>
      </w:r>
    </w:p>
    <w:p>
      <w:pPr>
        <w:pStyle w:val="ListBullet"/>
      </w:pPr>
      <w:r>
        <w:t xml:space="preserve">Lime Green (#79BE2E) should only be used for filled shapes, </w:t>
      </w:r>
      <w:r>
        <w:rPr>
          <w:b/>
        </w:rPr>
        <w:t>not</w:t>
      </w:r>
      <w:r>
        <w:t xml:space="preserve"> for text on white (fails contrast)</w:t>
      </w:r>
    </w:p>
    <w:p>
      <w:pPr>
        <w:pStyle w:val="ListBullet"/>
      </w:pPr>
      <w:r>
        <w:t>Avoid using color alone to convey meaning - always pair with labels or icons</w:t>
      </w:r>
    </w:p>
    <w:p>
      <w:pPr>
        <w:pStyle w:val="ListBullet"/>
      </w:pPr>
      <w:r>
        <w:t xml:space="preserve">Minimum font size: </w:t>
      </w:r>
      <w:r>
        <w:rPr>
          <w:b/>
        </w:rPr>
        <w:t>10px</w:t>
      </w:r>
      <w:r>
        <w:t xml:space="preserve"> for any readable text</w:t>
      </w:r>
    </w:p>
    <w:p>
      <w:pPr>
        <w:pStyle w:val="Heading2"/>
      </w:pPr>
      <w:r>
        <w:t>7. Power BI Theme File</w:t>
      </w:r>
    </w:p>
    <w:p>
      <w:r>
        <w:t>The companion Power BI theme JSON implementing this spec is available at:</w:t>
      </w:r>
    </w:p>
    <w:p>
      <w:r>
        <w:t>[CS_Wholesale_Theme.json](file:///C:/GIT/FUAM/themes/CS_Wholesale_Theme.json)</w:t>
      </w:r>
    </w:p>
    <w:p>
      <w:r>
        <w:t>To apply: Power BI Desktop → View → Themes → Browse for themes → select CS_Wholesale_Theme.json</w:t>
      </w:r>
    </w:p>
    <w:p>
      <w:pPr>
        <w:pStyle w:val="Heading2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Role / Element</w:t>
            </w:r>
          </w:p>
        </w:tc>
        <w:tc>
          <w:tcPr>
            <w:tcW w:type="dxa" w:w="2880"/>
          </w:tcPr>
          <w:p>
            <w:r>
              <w:t>Hex</w:t>
            </w:r>
          </w:p>
        </w:tc>
        <w:tc>
          <w:p>
            <w:r>
              <w:t>Sample</w:t>
            </w:r>
          </w:p>
        </w:tc>
      </w:tr>
      <w:tr>
        <w:tc>
          <w:tcPr>
            <w:tcW w:type="dxa" w:w="2880"/>
          </w:tcPr>
          <w:p>
            <w:r>
              <w:t>Corporate</w:t>
            </w:r>
          </w:p>
        </w:tc>
        <w:tc>
          <w:tcPr>
            <w:tcW w:type="dxa" w:w="2880"/>
          </w:tcPr>
          <w:p>
            <w:r>
              <w:t>Red (Primary)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  <w:tc>
          <w:tcPr>
            <w:shd w:fill="C8353D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Gray</w:t>
            </w:r>
          </w:p>
        </w:tc>
        <w:tc>
          <w:tcPr>
            <w:tcW w:type="dxa" w:w="2880"/>
          </w:tcPr>
          <w:p>
            <w:r>
              <w:t>#BFBFBF</w:t>
            </w:r>
          </w:p>
        </w:tc>
        <w:tc>
          <w:tcPr>
            <w:shd w:fill="BFBFBF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Black</w:t>
            </w:r>
          </w:p>
        </w:tc>
        <w:tc>
          <w:tcPr>
            <w:tcW w:type="dxa" w:w="2880"/>
          </w:tcPr>
          <w:p>
            <w:r>
              <w:t>#000000</w:t>
            </w:r>
          </w:p>
        </w:tc>
        <w:tc>
          <w:tcPr>
            <w:shd w:fill="000000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White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shd w:fill="FFFFFF"/>
          </w:tcPr>
        </w:tc>
      </w:tr>
      <w:tr>
        <w:tc>
          <w:tcPr>
            <w:tcW w:type="dxa" w:w="2880"/>
          </w:tcPr>
          <w:p>
            <w:r>
              <w:t>Surfaces</w:t>
            </w:r>
          </w:p>
        </w:tc>
        <w:tc>
          <w:tcPr>
            <w:tcW w:type="dxa" w:w="2880"/>
          </w:tcPr>
          <w:p>
            <w:r>
              <w:t>Page BG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shd w:fill="F2F2F2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Borders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shd w:fill="E6E6E6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Card BG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shd w:fill="FFFFFF"/>
          </w:tcPr>
        </w:tc>
      </w:tr>
      <w:tr>
        <w:tc>
          <w:tcPr>
            <w:tcW w:type="dxa" w:w="2880"/>
          </w:tcPr>
          <w:p>
            <w:r>
              <w:t>Splash Series</w:t>
            </w:r>
          </w:p>
        </w:tc>
        <w:tc>
          <w:tcPr>
            <w:tcW w:type="dxa" w:w="2880"/>
          </w:tcPr>
          <w:p>
            <w:r>
              <w:t>Series 1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  <w:tc>
          <w:tcPr>
            <w:shd w:fill="C8353D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2</w:t>
            </w:r>
          </w:p>
        </w:tc>
        <w:tc>
          <w:tcPr>
            <w:tcW w:type="dxa" w:w="2880"/>
          </w:tcPr>
          <w:p>
            <w:r>
              <w:t>#1282C6</w:t>
            </w:r>
          </w:p>
        </w:tc>
        <w:tc>
          <w:tcPr>
            <w:shd w:fill="1282C6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3</w:t>
            </w:r>
          </w:p>
        </w:tc>
        <w:tc>
          <w:tcPr>
            <w:tcW w:type="dxa" w:w="2880"/>
          </w:tcPr>
          <w:p>
            <w:r>
              <w:t>#79BE2E</w:t>
            </w:r>
          </w:p>
        </w:tc>
        <w:tc>
          <w:tcPr>
            <w:shd w:fill="79BE2E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4</w:t>
            </w:r>
          </w:p>
        </w:tc>
        <w:tc>
          <w:tcPr>
            <w:tcW w:type="dxa" w:w="2880"/>
          </w:tcPr>
          <w:p>
            <w:r>
              <w:t>#9F2C92</w:t>
            </w:r>
          </w:p>
        </w:tc>
        <w:tc>
          <w:tcPr>
            <w:shd w:fill="9F2C92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5</w:t>
            </w:r>
          </w:p>
        </w:tc>
        <w:tc>
          <w:tcPr>
            <w:tcW w:type="dxa" w:w="2880"/>
          </w:tcPr>
          <w:p>
            <w:r>
              <w:t>#E7703A</w:t>
            </w:r>
          </w:p>
        </w:tc>
        <w:tc>
          <w:tcPr>
            <w:shd w:fill="E7703A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6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  <w:tc>
          <w:tcPr>
            <w:shd w:fill="1E9FD3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7</w:t>
            </w:r>
          </w:p>
        </w:tc>
        <w:tc>
          <w:tcPr>
            <w:tcW w:type="dxa" w:w="2880"/>
          </w:tcPr>
          <w:p>
            <w:r>
              <w:t>#1C6B27</w:t>
            </w:r>
          </w:p>
        </w:tc>
        <w:tc>
          <w:tcPr>
            <w:shd w:fill="1C6B27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Series 8</w:t>
            </w:r>
          </w:p>
        </w:tc>
        <w:tc>
          <w:tcPr>
            <w:tcW w:type="dxa" w:w="2880"/>
          </w:tcPr>
          <w:p>
            <w:r>
              <w:t>#BFBFBF</w:t>
            </w:r>
          </w:p>
        </w:tc>
        <w:tc>
          <w:tcPr>
            <w:shd w:fill="BFBFBF"/>
          </w:tcPr>
        </w:tc>
      </w:tr>
      <w:tr>
        <w:tc>
          <w:tcPr>
            <w:tcW w:type="dxa" w:w="2880"/>
          </w:tcPr>
          <w:p>
            <w:r>
              <w:t>Semantic</w:t>
            </w:r>
          </w:p>
        </w:tc>
        <w:tc>
          <w:tcPr>
            <w:tcW w:type="dxa" w:w="2880"/>
          </w:tcPr>
          <w:p>
            <w:r>
              <w:t>Good / Increase</w:t>
            </w:r>
          </w:p>
        </w:tc>
        <w:tc>
          <w:tcPr>
            <w:tcW w:type="dxa" w:w="2880"/>
          </w:tcPr>
          <w:p>
            <w:r>
              <w:t>#1C6B27</w:t>
            </w:r>
          </w:p>
        </w:tc>
        <w:tc>
          <w:tcPr>
            <w:shd w:fill="1C6B27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Neutral</w:t>
            </w:r>
          </w:p>
        </w:tc>
        <w:tc>
          <w:tcPr>
            <w:tcW w:type="dxa" w:w="2880"/>
          </w:tcPr>
          <w:p>
            <w:r>
              <w:t>#BFBFBF</w:t>
            </w:r>
          </w:p>
        </w:tc>
        <w:tc>
          <w:tcPr>
            <w:shd w:fill="BFBFBF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#1282C6</w:t>
            </w:r>
          </w:p>
        </w:tc>
        <w:tc>
          <w:tcPr>
            <w:shd w:fill="1282C6"/>
          </w:tcPr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Bad / Decrease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  <w:tc>
          <w:tcPr>
            <w:shd w:fill="C8353D"/>
          </w:tcPr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835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282C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282C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