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C&amp;S Wholesale Grocers - UI Design Specification</w:t>
      </w:r>
    </w:p>
    <w:p>
      <w:r>
        <w:rPr>
          <w:b/>
        </w:rPr>
        <w:t>Version: 1.1</w:t>
        <w:br/>
        <w:t>Date: March 20, 2026</w:t>
        <w:br/>
        <w:t>Purpose: Developer reference for C&amp;S Wholesale Grocers branding.</w:t>
      </w:r>
    </w:p>
    <w:p>
      <w:pPr>
        <w:pStyle w:val="Heading1"/>
      </w:pPr>
      <w:r>
        <w:t>1. Corporate Color Palette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2160"/>
          </w:tcPr>
          <w:p>
            <w:r>
              <w:t>C&amp;S Red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Logo, actions</w:t>
            </w:r>
          </w:p>
        </w:tc>
      </w:tr>
      <w:tr>
        <w:tc>
          <w:tcPr>
            <w:tcW w:type="dxa" w:w="2160"/>
          </w:tcPr>
          <w:p>
            <w:r>
              <w:t>Secondary</w:t>
            </w:r>
          </w:p>
        </w:tc>
        <w:tc>
          <w:tcPr>
            <w:tcW w:type="dxa" w:w="2160"/>
          </w:tcPr>
          <w:p>
            <w:r>
              <w:t>Corporate Gray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</w:tcPr>
          <w:p>
            <w:r>
              <w:t>Body text</w:t>
            </w:r>
          </w:p>
        </w:tc>
      </w:tr>
      <w:tr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  <w:tc>
          <w:tcPr>
            <w:tcW w:type="dxa" w:w="2160"/>
          </w:tcPr>
          <w:p>
            <w:r>
              <w:t>#000000</w:t>
            </w:r>
          </w:p>
        </w:tc>
        <w:tc>
          <w:tcPr>
            <w:tcW w:type="dxa" w:w="2160"/>
          </w:tcPr>
          <w:p>
            <w:r>
              <w:t>Readability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2160"/>
          </w:tcPr>
          <w:p>
            <w:r>
              <w:t>White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Canvas</w:t>
            </w:r>
          </w:p>
        </w:tc>
      </w:tr>
    </w:tbl>
    <w:p>
      <w:pPr>
        <w:pStyle w:val="Heading1"/>
      </w:pPr>
      <w:r>
        <w:t>4.3 Matrix (Pivot Table)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Part</w:t>
            </w:r>
          </w:p>
        </w:tc>
        <w:tc>
          <w:tcPr>
            <w:tcW w:type="dxa" w:w="1728"/>
          </w:tcPr>
          <w:p>
            <w:r>
              <w:t>Font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FG</w:t>
            </w:r>
          </w:p>
        </w:tc>
        <w:tc>
          <w:tcPr>
            <w:tcW w:type="dxa" w:w="1728"/>
          </w:tcPr>
          <w:p>
            <w:r>
              <w:t>BG</w:t>
            </w:r>
          </w:p>
        </w:tc>
      </w:tr>
      <w:tr>
        <w:tc>
          <w:tcPr>
            <w:tcW w:type="dxa" w:w="1728"/>
          </w:tcPr>
          <w:p>
            <w:r>
              <w:t>Headers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  <w:tr>
        <w:tc>
          <w:tcPr>
            <w:tcW w:type="dxa" w:w="1728"/>
          </w:tcPr>
          <w:p>
            <w:r>
              <w:t>Subtotals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#F2F2F2</w:t>
            </w:r>
          </w:p>
        </w:tc>
      </w:tr>
      <w:tr>
        <w:tc>
          <w:tcPr>
            <w:tcW w:type="dxa" w:w="1728"/>
          </w:tcPr>
          <w:p>
            <w:r>
              <w:t>Grand Total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</w:tbl>
    <w:p>
      <w:pPr>
        <w:pStyle w:val="Heading1"/>
      </w:pPr>
      <w:r>
        <w:t>8. Quick Reference - Color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Sample</w:t>
            </w:r>
          </w:p>
        </w:tc>
      </w:tr>
      <w:tr>
        <w:tc>
          <w:tcPr>
            <w:tcW w:type="dxa" w:w="2160"/>
          </w:tcPr>
          <w:p>
            <w:r>
              <w:t>Corporate</w:t>
            </w:r>
          </w:p>
        </w:tc>
        <w:tc>
          <w:tcPr>
            <w:tcW w:type="dxa" w:w="2160"/>
          </w:tcPr>
          <w:p>
            <w:r>
              <w:t>Red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  <w:shd w:fill="C8353D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Gray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  <w:shd w:fill="BFBFBF"/>
          </w:tcPr>
          <w:p/>
        </w:tc>
      </w:tr>
      <w:tr>
        <w:tc>
          <w:tcPr>
            <w:tcW w:type="dxa" w:w="2160"/>
          </w:tcPr>
          <w:p>
            <w:r>
              <w:t>Semantic</w:t>
            </w:r>
          </w:p>
        </w:tc>
        <w:tc>
          <w:tcPr>
            <w:tcW w:type="dxa" w:w="2160"/>
          </w:tcPr>
          <w:p>
            <w:r>
              <w:t>Good</w:t>
            </w:r>
          </w:p>
        </w:tc>
        <w:tc>
          <w:tcPr>
            <w:tcW w:type="dxa" w:w="2160"/>
          </w:tcPr>
          <w:p>
            <w:r>
              <w:t>#1C6B27</w:t>
            </w:r>
          </w:p>
        </w:tc>
        <w:tc>
          <w:tcPr>
            <w:tcW w:type="dxa" w:w="2160"/>
            <w:shd w:fill="1C6B27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Bad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  <w:shd w:fill="C8353D"/>
          </w:tcPr>
          <w:p/>
        </w:tc>
      </w:tr>
    </w:tbl>
    <w:p>
      <w:pPr>
        <w:pStyle w:val="Heading1"/>
      </w:pPr>
      <w:r>
        <w:t>Document History</w:t>
      </w:r>
    </w:p>
    <w:p>
      <w:r>
        <w:t>v1.1 (March 20, 2026): Expanded semantic colors and formatting guidelines.</w:t>
      </w:r>
    </w:p>
    <w:p>
      <w:r>
        <w:t>v1.0 (March 19, 2026): Initial UI design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