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SpartanNash - UI Design Specification</w:t>
      </w:r>
    </w:p>
    <w:p>
      <w:r>
        <w:rPr>
          <w:b/>
        </w:rPr>
        <w:t>Version: 1.2</w:t>
        <w:br/>
        <w:t>Date: March 20, 2026</w:t>
        <w:br/>
        <w:t>Purpose: Developer reference.</w:t>
      </w:r>
    </w:p>
    <w:p>
      <w:pPr>
        <w:pStyle w:val="Heading1"/>
      </w:pPr>
      <w:r>
        <w:t>1. Corporate Color Palette</w:t>
      </w:r>
    </w:p>
    <w:p>
      <w:pPr>
        <w:pStyle w:val="Heading2"/>
      </w:pPr>
      <w:r>
        <w:t>1.1 Surface &amp; Neutral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Hex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Page Background</w:t>
            </w:r>
          </w:p>
        </w:tc>
        <w:tc>
          <w:tcPr>
            <w:tcW w:type="dxa" w:w="2880"/>
          </w:tcPr>
          <w:p>
            <w:r>
              <w:t>#F2F2F2</w:t>
            </w:r>
          </w:p>
        </w:tc>
        <w:tc>
          <w:tcPr>
            <w:tcW w:type="dxa" w:w="2880"/>
          </w:tcPr>
          <w:p>
            <w:r>
              <w:t>Canvas</w:t>
            </w:r>
          </w:p>
        </w:tc>
      </w:tr>
      <w:tr>
        <w:tc>
          <w:tcPr>
            <w:tcW w:type="dxa" w:w="2880"/>
          </w:tcPr>
          <w:p>
            <w:r>
              <w:t>Divider / Grid</w:t>
            </w:r>
          </w:p>
        </w:tc>
        <w:tc>
          <w:tcPr>
            <w:tcW w:type="dxa" w:w="2880"/>
          </w:tcPr>
          <w:p>
            <w:r>
              <w:t>#CCE1DC</w:t>
            </w:r>
          </w:p>
        </w:tc>
        <w:tc>
          <w:tcPr>
            <w:tcW w:type="dxa" w:w="2880"/>
          </w:tcPr>
          <w:p>
            <w:r>
              <w:t>Gridlines</w:t>
            </w:r>
          </w:p>
        </w:tc>
      </w:tr>
      <w:tr>
        <w:tc>
          <w:tcPr>
            <w:tcW w:type="dxa" w:w="2880"/>
          </w:tcPr>
          <w:p>
            <w:r>
              <w:t>Alt Row</w:t>
            </w:r>
          </w:p>
        </w:tc>
        <w:tc>
          <w:tcPr>
            <w:tcW w:type="dxa" w:w="2880"/>
          </w:tcPr>
          <w:p>
            <w:r>
              <w:t>#E4E4E5</w:t>
            </w:r>
          </w:p>
        </w:tc>
        <w:tc>
          <w:tcPr>
            <w:tcW w:type="dxa" w:w="2880"/>
          </w:tcPr>
          <w:p>
            <w:r>
              <w:t>Banding</w:t>
            </w:r>
          </w:p>
        </w:tc>
      </w:tr>
    </w:tbl>
    <w:p>
      <w:pPr>
        <w:pStyle w:val="Heading1"/>
      </w:pPr>
      <w:r>
        <w:t>3. 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Font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Color</w:t>
            </w:r>
          </w:p>
        </w:tc>
      </w:tr>
      <w:tr>
        <w:tc>
          <w:tcPr>
            <w:tcW w:type="dxa" w:w="1728"/>
          </w:tcPr>
          <w:p>
            <w:r>
              <w:t>Page Title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20px</w:t>
            </w:r>
          </w:p>
        </w:tc>
        <w:tc>
          <w:tcPr>
            <w:tcW w:type="dxa" w:w="1728"/>
          </w:tcPr>
          <w:p>
            <w:r>
              <w:t>#006A52</w:t>
            </w:r>
          </w:p>
        </w:tc>
      </w:tr>
      <w:tr>
        <w:tc>
          <w:tcPr>
            <w:tcW w:type="dxa" w:w="1728"/>
          </w:tcPr>
          <w:p>
            <w:r>
              <w:t>Visual Title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11px</w:t>
            </w:r>
          </w:p>
        </w:tc>
        <w:tc>
          <w:tcPr>
            <w:tcW w:type="dxa" w:w="1728"/>
          </w:tcPr>
          <w:p>
            <w:r>
              <w:t>#006A52</w:t>
            </w:r>
          </w:p>
        </w:tc>
      </w:tr>
      <w:tr>
        <w:tc>
          <w:tcPr>
            <w:tcW w:type="dxa" w:w="1728"/>
          </w:tcPr>
          <w:p>
            <w:r>
              <w:t>Axis Labels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10px</w:t>
            </w:r>
          </w:p>
        </w:tc>
        <w:tc>
          <w:tcPr>
            <w:tcW w:type="dxa" w:w="1728"/>
          </w:tcPr>
          <w:p>
            <w:r>
              <w:t>#525051</w:t>
            </w:r>
          </w:p>
        </w:tc>
      </w:tr>
      <w:tr>
        <w:tc>
          <w:tcPr>
            <w:tcW w:type="dxa" w:w="1728"/>
          </w:tcPr>
          <w:p>
            <w:r>
              <w:t>Legend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10px</w:t>
            </w:r>
          </w:p>
        </w:tc>
        <w:tc>
          <w:tcPr>
            <w:tcW w:type="dxa" w:w="1728"/>
          </w:tcPr>
          <w:p>
            <w:r>
              <w:t>#525051</w:t>
            </w:r>
          </w:p>
        </w:tc>
      </w:tr>
      <w:tr>
        <w:tc>
          <w:tcPr>
            <w:tcW w:type="dxa" w:w="1728"/>
          </w:tcPr>
          <w:p>
            <w:r>
              <w:t>Table Headers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10px</w:t>
            </w:r>
          </w:p>
        </w:tc>
        <w:tc>
          <w:tcPr>
            <w:tcW w:type="dxa" w:w="1728"/>
          </w:tcPr>
          <w:p>
            <w:r>
              <w:t>#000000 on #FFFFFF</w:t>
            </w:r>
          </w:p>
        </w:tc>
      </w:tr>
    </w:tbl>
    <w:p>
      <w:pPr>
        <w:pStyle w:val="Heading1"/>
      </w:pPr>
      <w:r>
        <w:t>8.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Hex</w:t>
            </w:r>
          </w:p>
        </w:tc>
        <w:tc>
          <w:tcPr>
            <w:tcW w:type="dxa" w:w="2160"/>
          </w:tcPr>
          <w:p>
            <w:r>
              <w:t>Sample</w:t>
            </w:r>
          </w:p>
        </w:tc>
      </w:tr>
      <w:tr>
        <w:tc>
          <w:tcPr>
            <w:tcW w:type="dxa" w:w="2160"/>
          </w:tcPr>
          <w:p>
            <w:r>
              <w:t>Corporate</w:t>
            </w:r>
          </w:p>
        </w:tc>
        <w:tc>
          <w:tcPr>
            <w:tcW w:type="dxa" w:w="2160"/>
          </w:tcPr>
          <w:p>
            <w:r>
              <w:t>Dark Green</w:t>
            </w:r>
          </w:p>
        </w:tc>
        <w:tc>
          <w:tcPr>
            <w:tcW w:type="dxa" w:w="2160"/>
          </w:tcPr>
          <w:p>
            <w:r>
              <w:t>#006A52</w:t>
            </w:r>
          </w:p>
        </w:tc>
        <w:tc>
          <w:tcPr>
            <w:tcW w:type="dxa" w:w="2160"/>
            <w:shd w:fill="006A52"/>
          </w:tcPr>
          <w:p/>
        </w:tc>
      </w:tr>
      <w:tr>
        <w:tc>
          <w:tcPr>
            <w:tcW w:type="dxa" w:w="2160"/>
          </w:tcPr>
          <w:p>
            <w:r>
              <w:t>Surfaces</w:t>
            </w:r>
          </w:p>
        </w:tc>
        <w:tc>
          <w:tcPr>
            <w:tcW w:type="dxa" w:w="2160"/>
          </w:tcPr>
          <w:p>
            <w:r>
              <w:t>Divider</w:t>
            </w:r>
          </w:p>
        </w:tc>
        <w:tc>
          <w:tcPr>
            <w:tcW w:type="dxa" w:w="2160"/>
          </w:tcPr>
          <w:p>
            <w:r>
              <w:t>#CCE1DC</w:t>
            </w:r>
          </w:p>
        </w:tc>
        <w:tc>
          <w:tcPr>
            <w:tcW w:type="dxa" w:w="2160"/>
            <w:shd w:fill="CCE1DC"/>
          </w:tcPr>
          <w:p/>
        </w:tc>
      </w:tr>
    </w:tbl>
    <w:p>
      <w:pPr>
        <w:pStyle w:val="Heading1"/>
      </w:pPr>
      <w:r>
        <w:t>Document History</w:t>
      </w:r>
    </w:p>
    <w:p>
      <w:r>
        <w:t>v1.2 (March 20, 2026): Full parity with C&amp;S detailing.</w:t>
      </w:r>
    </w:p>
    <w:p>
      <w:r>
        <w:t>v1.1 (March 20, 2026): Added extended palette.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