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Attachment H</w:t>
      </w:r>
    </w:p>
    <w:p>
      <w:pPr>
        <w:jc w:val="center"/>
      </w:pPr>
      <w:r>
        <w:rPr>
          <w:b/>
          <w:sz w:val="30"/>
        </w:rPr>
        <w:t>Source and Evidence Index</w:t>
      </w:r>
    </w:p>
    <w:p>
      <w:pPr>
        <w:jc w:val="center"/>
      </w:pPr>
      <w:r>
        <w:rPr>
          <w:b/>
        </w:rPr>
        <w:t>Prepared by the Arkansas Accountability Project - ARAP</w:t>
        <w:br/>
      </w:r>
      <w:r>
        <w:t>Supporting the Request for Legislative Review of Ark. Code Ann. §§ 12-12-1801 Through 12-12-1808</w:t>
        <w:br/>
      </w:r>
      <w:r>
        <w:t>Date: August 8, 2026</w:t>
        <w:br/>
        <w:t>Index Version: 1.1</w:t>
      </w:r>
    </w:p>
    <w:p>
      <w:pPr>
        <w:pStyle w:val="Heading1"/>
      </w:pPr>
      <w:r>
        <w:t>Purpose</w:t>
      </w:r>
    </w:p>
    <w:p>
      <w:pPr>
        <w:spacing w:after="80"/>
      </w:pPr>
      <w:r>
        <w:rPr>
          <w:i w:val="0"/>
        </w:rPr>
        <w:t>This attachment identifies the principal sources relied upon in the legislative review letter and Attachments A through G.</w:t>
      </w:r>
    </w:p>
    <w:p>
      <w:pPr>
        <w:pStyle w:val="ListBullet"/>
        <w:spacing w:after="30"/>
      </w:pPr>
      <w:r>
        <w:t>Connect factual statements to supporting records;</w:t>
      </w:r>
    </w:p>
    <w:p>
      <w:pPr>
        <w:pStyle w:val="ListBullet"/>
        <w:spacing w:after="30"/>
      </w:pPr>
      <w:r>
        <w:t>Distinguish original agency records from ARAP summaries;</w:t>
      </w:r>
    </w:p>
    <w:p>
      <w:pPr>
        <w:pStyle w:val="ListBullet"/>
        <w:spacing w:after="30"/>
      </w:pPr>
      <w:r>
        <w:t>Identify documents that should be preserved in the evidence repository;</w:t>
      </w:r>
    </w:p>
    <w:p>
      <w:pPr>
        <w:pStyle w:val="ListBullet"/>
        <w:spacing w:after="30"/>
      </w:pPr>
      <w:r>
        <w:t>Prevent duplicate or inconsistent exhibit numbering;</w:t>
      </w:r>
    </w:p>
    <w:p>
      <w:pPr>
        <w:pStyle w:val="ListBullet"/>
        <w:spacing w:after="30"/>
      </w:pPr>
      <w:r>
        <w:t>Record whether a source contains identifiable or sensitive information;</w:t>
      </w:r>
    </w:p>
    <w:p>
      <w:pPr>
        <w:pStyle w:val="ListBullet"/>
        <w:spacing w:after="30"/>
      </w:pPr>
      <w:r>
        <w:t>Identify public-reference and restricted evidentiary versions;</w:t>
      </w:r>
    </w:p>
    <w:p>
      <w:pPr>
        <w:pStyle w:val="ListBullet"/>
        <w:spacing w:after="30"/>
      </w:pPr>
      <w:r>
        <w:t>Document evidentiary limitations; and</w:t>
      </w:r>
    </w:p>
    <w:p>
      <w:pPr>
        <w:pStyle w:val="ListBullet"/>
        <w:spacing w:after="30"/>
      </w:pPr>
      <w:r>
        <w:t>Provide legislators and staff with an organized path to the underlying materials.</w:t>
      </w:r>
    </w:p>
    <w:p>
      <w:pPr>
        <w:spacing w:after="80"/>
      </w:pPr>
      <w:r>
        <w:rPr>
          <w:i w:val="0"/>
        </w:rPr>
        <w:t>This index is not intended to imply that every listed record independently proves a statutory violation. Each record should be read in context and together with any accompanying agency explanation.</w:t>
      </w:r>
    </w:p>
    <w:p>
      <w:pPr>
        <w:pStyle w:val="Heading1"/>
      </w:pPr>
      <w:r>
        <w:t>I. Evidence Classification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Classification</w:t>
            </w:r>
          </w:p>
        </w:tc>
        <w:tc>
          <w:tcPr>
            <w:tcW w:type="dxa" w:w="5083"/>
          </w:tcPr>
          <w:p>
            <w:r>
              <w:rPr>
                <w:b/>
              </w:rPr>
              <w:t>Meaning</w:t>
            </w:r>
          </w:p>
        </w:tc>
      </w:tr>
      <w:tr>
        <w:tc>
          <w:tcPr>
            <w:tcW w:type="dxa" w:w="5083"/>
          </w:tcPr>
          <w:p>
            <w:r>
              <w:t>Primary agency record</w:t>
            </w:r>
          </w:p>
        </w:tc>
        <w:tc>
          <w:tcPr>
            <w:tcW w:type="dxa" w:w="5083"/>
          </w:tcPr>
          <w:p>
            <w:r>
              <w:t>Created, maintained, or produced by a governmental agency</w:t>
            </w:r>
          </w:p>
        </w:tc>
      </w:tr>
      <w:tr>
        <w:tc>
          <w:tcPr>
            <w:tcW w:type="dxa" w:w="5083"/>
          </w:tcPr>
          <w:p>
            <w:r>
              <w:t>Vendor-generated agency record</w:t>
            </w:r>
          </w:p>
        </w:tc>
        <w:tc>
          <w:tcPr>
            <w:tcW w:type="dxa" w:w="5083"/>
          </w:tcPr>
          <w:p>
            <w:r>
              <w:t>Created through an ALPR vendor platform and produced or maintained for a public agency</w:t>
            </w:r>
          </w:p>
        </w:tc>
      </w:tr>
      <w:tr>
        <w:tc>
          <w:tcPr>
            <w:tcW w:type="dxa" w:w="5083"/>
          </w:tcPr>
          <w:p>
            <w:r>
              <w:t>Public-records correspondence</w:t>
            </w:r>
          </w:p>
        </w:tc>
        <w:tc>
          <w:tcPr>
            <w:tcW w:type="dxa" w:w="5083"/>
          </w:tcPr>
          <w:p>
            <w:r>
              <w:t>Request, response, clarification, preservation, or appeal communication</w:t>
            </w:r>
          </w:p>
        </w:tc>
      </w:tr>
      <w:tr>
        <w:tc>
          <w:tcPr>
            <w:tcW w:type="dxa" w:w="5083"/>
          </w:tcPr>
          <w:p>
            <w:r>
              <w:t>Policy or administrative record</w:t>
            </w:r>
          </w:p>
        </w:tc>
        <w:tc>
          <w:tcPr>
            <w:tcW w:type="dxa" w:w="5083"/>
          </w:tcPr>
          <w:p>
            <w:r>
              <w:t>Agency policy, procedure, training, audit, or oversight document</w:t>
            </w:r>
          </w:p>
        </w:tc>
      </w:tr>
      <w:tr>
        <w:tc>
          <w:tcPr>
            <w:tcW w:type="dxa" w:w="5083"/>
          </w:tcPr>
          <w:p>
            <w:r>
              <w:t>Contract or procurement record</w:t>
            </w:r>
          </w:p>
        </w:tc>
        <w:tc>
          <w:tcPr>
            <w:tcW w:type="dxa" w:w="5083"/>
          </w:tcPr>
          <w:p>
            <w:r>
              <w:t>Contract, invoice, purchase order, amendment, funding, or implementation record</w:t>
            </w:r>
          </w:p>
        </w:tc>
      </w:tr>
      <w:tr>
        <w:tc>
          <w:tcPr>
            <w:tcW w:type="dxa" w:w="5083"/>
          </w:tcPr>
          <w:p>
            <w:r>
              <w:t>Public transparency record</w:t>
            </w:r>
          </w:p>
        </w:tc>
        <w:tc>
          <w:tcPr>
            <w:tcW w:type="dxa" w:w="5083"/>
          </w:tcPr>
          <w:p>
            <w:r>
              <w:t>Agency or vendor transparency-portal information</w:t>
            </w:r>
          </w:p>
        </w:tc>
      </w:tr>
      <w:tr>
        <w:tc>
          <w:tcPr>
            <w:tcW w:type="dxa" w:w="5083"/>
          </w:tcPr>
          <w:p>
            <w:r>
              <w:t>ARAP analytical work product</w:t>
            </w:r>
          </w:p>
        </w:tc>
        <w:tc>
          <w:tcPr>
            <w:tcW w:type="dxa" w:w="5083"/>
          </w:tcPr>
          <w:p>
            <w:r>
              <w:t>Matrix, summary, calculation, timeline, or legislative analysis created from source records</w:t>
            </w:r>
          </w:p>
        </w:tc>
      </w:tr>
      <w:tr>
        <w:tc>
          <w:tcPr>
            <w:tcW w:type="dxa" w:w="5083"/>
          </w:tcPr>
          <w:p>
            <w:r>
              <w:t>Screenshot or preservation copy</w:t>
            </w:r>
          </w:p>
        </w:tc>
        <w:tc>
          <w:tcPr>
            <w:tcW w:type="dxa" w:w="5083"/>
          </w:tcPr>
          <w:p>
            <w:r>
              <w:t>Visual capture preserving the content or appearance of a source</w:t>
            </w:r>
          </w:p>
        </w:tc>
      </w:tr>
      <w:tr>
        <w:tc>
          <w:tcPr>
            <w:tcW w:type="dxa" w:w="5083"/>
          </w:tcPr>
          <w:p>
            <w:r>
              <w:t>External legal authority</w:t>
            </w:r>
          </w:p>
        </w:tc>
        <w:tc>
          <w:tcPr>
            <w:tcW w:type="dxa" w:w="5083"/>
          </w:tcPr>
          <w:p>
            <w:r>
              <w:t>Statute, case, legislative act, regulation, or other legal source</w:t>
            </w:r>
          </w:p>
        </w:tc>
      </w:tr>
      <w:tr>
        <w:tc>
          <w:tcPr>
            <w:tcW w:type="dxa" w:w="5083"/>
          </w:tcPr>
          <w:p>
            <w:r>
              <w:t>Unverified lead</w:t>
            </w:r>
          </w:p>
        </w:tc>
        <w:tc>
          <w:tcPr>
            <w:tcW w:type="dxa" w:w="5083"/>
          </w:tcPr>
          <w:p>
            <w:r>
              <w:t>Material preserved for follow-up but not relied upon as a confirmed factual source</w:t>
            </w:r>
          </w:p>
        </w:tc>
      </w:tr>
    </w:tbl>
    <w:p>
      <w:pPr>
        <w:pStyle w:val="Heading1"/>
      </w:pPr>
      <w:r>
        <w:t>II. Evidence-Handling Designations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Designation</w:t>
            </w:r>
          </w:p>
        </w:tc>
        <w:tc>
          <w:tcPr>
            <w:tcW w:type="dxa" w:w="5083"/>
          </w:tcPr>
          <w:p>
            <w:r>
              <w:rPr>
                <w:b/>
              </w:rPr>
              <w:t>Description</w:t>
            </w:r>
          </w:p>
        </w:tc>
      </w:tr>
      <w:tr>
        <w:tc>
          <w:tcPr>
            <w:tcW w:type="dxa" w:w="5083"/>
          </w:tcPr>
          <w:p>
            <w:r>
              <w:t>Public</w:t>
            </w:r>
          </w:p>
        </w:tc>
        <w:tc>
          <w:tcPr>
            <w:tcW w:type="dxa" w:w="5083"/>
          </w:tcPr>
          <w:p>
            <w:r>
              <w:t>Suitable for unrestricted public distribution</w:t>
            </w:r>
          </w:p>
        </w:tc>
      </w:tr>
      <w:tr>
        <w:tc>
          <w:tcPr>
            <w:tcW w:type="dxa" w:w="5083"/>
          </w:tcPr>
          <w:p>
            <w:r>
              <w:t>Public with redactions</w:t>
            </w:r>
          </w:p>
        </w:tc>
        <w:tc>
          <w:tcPr>
            <w:tcW w:type="dxa" w:w="5083"/>
          </w:tcPr>
          <w:p>
            <w:r>
              <w:t>May be distributed after removal of plates, personal information, coordinates, credentials, or other sensitive content</w:t>
            </w:r>
          </w:p>
        </w:tc>
      </w:tr>
      <w:tr>
        <w:tc>
          <w:tcPr>
            <w:tcW w:type="dxa" w:w="5083"/>
          </w:tcPr>
          <w:p>
            <w:r>
              <w:t>Legislative evidentiary</w:t>
            </w:r>
          </w:p>
        </w:tc>
        <w:tc>
          <w:tcPr>
            <w:tcW w:type="dxa" w:w="5083"/>
          </w:tcPr>
          <w:p>
            <w:r>
              <w:t>May be provided unredacted to legislators, staff, counsel, auditors, or authorized reviewers</w:t>
            </w:r>
          </w:p>
        </w:tc>
      </w:tr>
      <w:tr>
        <w:tc>
          <w:tcPr>
            <w:tcW w:type="dxa" w:w="5083"/>
          </w:tcPr>
          <w:p>
            <w:r>
              <w:t>Restricted repository</w:t>
            </w:r>
          </w:p>
        </w:tc>
        <w:tc>
          <w:tcPr>
            <w:tcW w:type="dxa" w:w="5083"/>
          </w:tcPr>
          <w:p>
            <w:r>
              <w:t>Preserved in the evidence repository but not ordinarily distributed</w:t>
            </w:r>
          </w:p>
        </w:tc>
      </w:tr>
      <w:tr>
        <w:tc>
          <w:tcPr>
            <w:tcW w:type="dxa" w:w="5083"/>
          </w:tcPr>
          <w:p>
            <w:r>
              <w:t>Working copy</w:t>
            </w:r>
          </w:p>
        </w:tc>
        <w:tc>
          <w:tcPr>
            <w:tcW w:type="dxa" w:w="5083"/>
          </w:tcPr>
          <w:p>
            <w:r>
              <w:t>Subject to verification, correction, replacement, or final exhibit assignment</w:t>
            </w:r>
          </w:p>
        </w:tc>
      </w:tr>
    </w:tbl>
    <w:p>
      <w:pPr>
        <w:pStyle w:val="Heading1"/>
      </w:pPr>
      <w:r>
        <w:t>III. Core Legislative Authorities</w:t>
      </w:r>
    </w:p>
    <w:p>
      <w:pPr>
        <w:pStyle w:val="Heading2"/>
      </w:pPr>
      <w:r>
        <w:t>H-001 - Arkansas Automatic License Plate Reader System Act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External legal authority</w:t>
            </w:r>
          </w:p>
        </w:tc>
      </w:tr>
      <w:tr>
        <w:tc>
          <w:tcPr>
            <w:tcW w:type="dxa" w:w="5083"/>
          </w:tcPr>
          <w:p>
            <w:r>
              <w:t>Handling</w:t>
            </w:r>
          </w:p>
        </w:tc>
        <w:tc>
          <w:tcPr>
            <w:tcW w:type="dxa" w:w="5083"/>
          </w:tcPr>
          <w:p>
            <w:r>
              <w:t>Public</w:t>
            </w:r>
          </w:p>
        </w:tc>
      </w:tr>
    </w:tbl>
    <w:p>
      <w:pPr>
        <w:spacing w:after="80"/>
      </w:pPr>
      <w:r>
        <w:rPr>
          <w:i w:val="0"/>
        </w:rPr>
        <w:t>Ark. Code Ann. §§ 12-12-1801 through 12-12-1808. Primary subjects include definitions, authorized uses, retention, ongoing-investigation provisions, sharing, practice-and-usage reporting, data-derived evidence, penalties, and privacy or disclosure.</w:t>
      </w:r>
    </w:p>
    <w:p>
      <w:pPr>
        <w:pStyle w:val="Heading3"/>
      </w:pPr>
      <w:r>
        <w:t>Supports</w:t>
      </w:r>
    </w:p>
    <w:p>
      <w:pPr>
        <w:pStyle w:val="ListBullet"/>
        <w:spacing w:after="30"/>
      </w:pPr>
      <w:r>
        <w:t>Legislative review letter</w:t>
      </w:r>
    </w:p>
    <w:p>
      <w:pPr>
        <w:pStyle w:val="ListBullet"/>
        <w:spacing w:after="30"/>
      </w:pPr>
      <w:r>
        <w:t>Attachment C</w:t>
      </w:r>
    </w:p>
    <w:p>
      <w:pPr>
        <w:pStyle w:val="ListBullet"/>
        <w:spacing w:after="30"/>
      </w:pPr>
      <w:r>
        <w:t>Cross-jurisdiction analysis</w:t>
      </w:r>
    </w:p>
    <w:p>
      <w:pPr>
        <w:pStyle w:val="Heading3"/>
      </w:pPr>
      <w:r>
        <w:t>Notes and limitations</w:t>
      </w:r>
    </w:p>
    <w:p>
      <w:pPr>
        <w:pStyle w:val="ListBullet"/>
        <w:spacing w:after="30"/>
      </w:pPr>
      <w:r>
        <w:t>Preserve the original enacted act, current codified version, amendments, legislative history, relevant committee materials, and a dated PDF preservation copy.</w:t>
      </w:r>
    </w:p>
    <w:p>
      <w:pPr>
        <w:pStyle w:val="Heading2"/>
      </w:pPr>
      <w:r>
        <w:t>H-002 - Arkansas Freedom of Information Act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External legal authority</w:t>
            </w:r>
          </w:p>
        </w:tc>
      </w:tr>
      <w:tr>
        <w:tc>
          <w:tcPr>
            <w:tcW w:type="dxa" w:w="5083"/>
          </w:tcPr>
          <w:p>
            <w:r>
              <w:t>Handling</w:t>
            </w:r>
          </w:p>
        </w:tc>
        <w:tc>
          <w:tcPr>
            <w:tcW w:type="dxa" w:w="5083"/>
          </w:tcPr>
          <w:p>
            <w:r>
              <w:t>Public</w:t>
            </w:r>
          </w:p>
        </w:tc>
      </w:tr>
    </w:tbl>
    <w:p>
      <w:pPr>
        <w:spacing w:after="80"/>
      </w:pPr>
      <w:r>
        <w:rPr>
          <w:i w:val="0"/>
        </w:rPr>
        <w:t>Ark. Code Ann. §§ 25-19-101 et seq. Relevant to public-records requests, response obligations, segregation of exempt and nonexempt material, custodian decisions, electronic production, and the relationship between general FOIA disclosure and specific statutory restrictions.</w:t>
      </w:r>
    </w:p>
    <w:p>
      <w:pPr>
        <w:pStyle w:val="Heading3"/>
      </w:pPr>
      <w:r>
        <w:t>Supports</w:t>
      </w:r>
    </w:p>
    <w:p>
      <w:pPr>
        <w:pStyle w:val="ListBullet"/>
        <w:spacing w:after="30"/>
      </w:pPr>
      <w:r>
        <w:t>Sherwood CITY-2026-112 discussion</w:t>
      </w:r>
    </w:p>
    <w:p>
      <w:pPr>
        <w:pStyle w:val="ListBullet"/>
        <w:spacing w:after="30"/>
      </w:pPr>
      <w:r>
        <w:t>Attachment D</w:t>
      </w:r>
    </w:p>
    <w:p>
      <w:pPr>
        <w:pStyle w:val="ListBullet"/>
        <w:spacing w:after="30"/>
      </w:pPr>
      <w:r>
        <w:t>Attachment F</w:t>
      </w:r>
    </w:p>
    <w:p>
      <w:pPr>
        <w:pStyle w:val="Heading3"/>
      </w:pPr>
      <w:r>
        <w:t>Notes and limitations</w:t>
      </w:r>
    </w:p>
    <w:p>
      <w:pPr>
        <w:pStyle w:val="ListBullet"/>
        <w:spacing w:after="30"/>
      </w:pPr>
      <w:r>
        <w:t>Key unresolved question: whether § 12-12-1808 operates as a specific disclosure restriction controlling over general FOIA access to captured plate data.</w:t>
      </w:r>
    </w:p>
    <w:p>
      <w:pPr>
        <w:pStyle w:val="Heading2"/>
      </w:pPr>
      <w:r>
        <w:t>H-003 - Federal Driver's Privacy Protection Act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External legal authority</w:t>
            </w:r>
          </w:p>
        </w:tc>
      </w:tr>
      <w:tr>
        <w:tc>
          <w:tcPr>
            <w:tcW w:type="dxa" w:w="5083"/>
          </w:tcPr>
          <w:p>
            <w:r>
              <w:t>Handling</w:t>
            </w:r>
          </w:p>
        </w:tc>
        <w:tc>
          <w:tcPr>
            <w:tcW w:type="dxa" w:w="5083"/>
          </w:tcPr>
          <w:p>
            <w:r>
              <w:t>Public</w:t>
            </w:r>
          </w:p>
        </w:tc>
      </w:tr>
    </w:tbl>
    <w:p>
      <w:pPr>
        <w:spacing w:after="80"/>
      </w:pPr>
      <w:r>
        <w:rPr>
          <w:i w:val="0"/>
        </w:rPr>
        <w:t>Relevant to permitted uses of motor-vehicle information, consent, governmental and law-enforcement access, civil remedies, and the version incorporated by reference in Arkansas law.</w:t>
      </w:r>
    </w:p>
    <w:p>
      <w:pPr>
        <w:pStyle w:val="Heading3"/>
      </w:pPr>
      <w:r>
        <w:t>Supports</w:t>
      </w:r>
    </w:p>
    <w:p>
      <w:pPr>
        <w:pStyle w:val="ListBullet"/>
        <w:spacing w:after="30"/>
      </w:pPr>
      <w:r>
        <w:t>Interpretation of § 12-12-1808</w:t>
      </w:r>
    </w:p>
    <w:p>
      <w:pPr>
        <w:pStyle w:val="Heading3"/>
      </w:pPr>
      <w:r>
        <w:t>Notes and limitations</w:t>
      </w:r>
    </w:p>
    <w:p>
      <w:pPr>
        <w:pStyle w:val="ListBullet"/>
        <w:spacing w:after="30"/>
      </w:pPr>
      <w:r>
        <w:t>The final packet should identify the precise federal provisions incorporated by Arkansas law and preserve the version in effect on the date specified by the statute.</w:t>
      </w:r>
    </w:p>
    <w:p>
      <w:pPr>
        <w:pStyle w:val="Heading1"/>
      </w:pPr>
      <w:r>
        <w:t>IV. Sherwood CITY-2026-112 Evidence Group</w:t>
      </w:r>
    </w:p>
    <w:p>
      <w:pPr>
        <w:pStyle w:val="Heading2"/>
      </w:pPr>
      <w:r>
        <w:t>H-010 - Original Sherwood Public-Records Request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Public-records correspondence / primary agency portal record</w:t>
            </w:r>
          </w:p>
        </w:tc>
      </w:tr>
      <w:tr>
        <w:tc>
          <w:tcPr>
            <w:tcW w:type="dxa" w:w="5083"/>
          </w:tcPr>
          <w:p>
            <w:r>
              <w:t>Handling</w:t>
            </w:r>
          </w:p>
        </w:tc>
        <w:tc>
          <w:tcPr>
            <w:tcW w:type="dxa" w:w="5083"/>
          </w:tcPr>
          <w:p>
            <w:r>
              <w:t>Public with redactions or legislative evidentiary</w:t>
            </w:r>
          </w:p>
        </w:tc>
      </w:tr>
    </w:tbl>
    <w:p>
      <w:pPr>
        <w:spacing w:after="80"/>
      </w:pPr>
      <w:r>
        <w:rPr>
          <w:i w:val="0"/>
        </w:rPr>
        <w:t>Request CITY-2026-112, submitted June 30, 2026, sought all ALPR captures, images, timestamps, and location data for one specifically identified Arkansas vehicle during June 1 through July 1, 2026. The request identified the plate and vehicle but did not assert ownership, consent, or another legal interest. The portal later marked the request completed.</w:t>
      </w:r>
    </w:p>
    <w:p>
      <w:pPr>
        <w:pStyle w:val="Heading3"/>
      </w:pPr>
      <w:r>
        <w:t>Supports</w:t>
      </w:r>
    </w:p>
    <w:p>
      <w:pPr>
        <w:pStyle w:val="ListBullet"/>
        <w:spacing w:after="30"/>
      </w:pPr>
      <w:r>
        <w:t>Attachment D, Sections I and II</w:t>
      </w:r>
    </w:p>
    <w:p>
      <w:pPr>
        <w:pStyle w:val="ListBullet"/>
        <w:spacing w:after="30"/>
      </w:pPr>
      <w:r>
        <w:t>Attachment E background</w:t>
      </w:r>
    </w:p>
    <w:p>
      <w:pPr>
        <w:pStyle w:val="ListBullet"/>
        <w:spacing w:after="30"/>
      </w:pPr>
      <w:r>
        <w:t>Legislative-letter disclosure example</w:t>
      </w:r>
    </w:p>
    <w:p>
      <w:pPr>
        <w:pStyle w:val="ListBullet"/>
        <w:spacing w:after="30"/>
      </w:pPr>
      <w:r>
        <w:t>Attachment C discussion of § 12-12-1808</w:t>
      </w:r>
    </w:p>
    <w:p>
      <w:pPr>
        <w:pStyle w:val="Heading3"/>
      </w:pPr>
      <w:r>
        <w:t>Notes and limitations</w:t>
      </w:r>
    </w:p>
    <w:p>
      <w:pPr>
        <w:pStyle w:val="ListBullet"/>
        <w:spacing w:after="30"/>
      </w:pPr>
      <w:r>
        <w:t>Repository should include the portal PDF, screenshots, request text, completion status, file-list screenshot, download archive, and metadata showing capture date.</w:t>
      </w:r>
    </w:p>
    <w:p>
      <w:pPr>
        <w:pStyle w:val="Heading2"/>
      </w:pPr>
      <w:r>
        <w:t>H-011 - Sherwood Portal Production Listing</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portal record</w:t>
            </w:r>
          </w:p>
        </w:tc>
      </w:tr>
      <w:tr>
        <w:tc>
          <w:tcPr>
            <w:tcW w:type="dxa" w:w="5083"/>
          </w:tcPr>
          <w:p>
            <w:r>
              <w:t>Handling</w:t>
            </w:r>
          </w:p>
        </w:tc>
        <w:tc>
          <w:tcPr>
            <w:tcW w:type="dxa" w:w="5083"/>
          </w:tcPr>
          <w:p>
            <w:r>
              <w:t>Legislative evidentiary / public with redactions</w:t>
            </w:r>
          </w:p>
        </w:tc>
      </w:tr>
    </w:tbl>
    <w:p>
      <w:pPr>
        <w:spacing w:after="80"/>
      </w:pPr>
      <w:r>
        <w:rPr>
          <w:i w:val="0"/>
        </w:rPr>
        <w:t>The portal displayed 85 responsive files and a Download All function. Listed filenames reflected multiple camera locations and capture dates.</w:t>
      </w:r>
    </w:p>
    <w:p>
      <w:pPr>
        <w:pStyle w:val="Heading3"/>
      </w:pPr>
      <w:r>
        <w:t>Notes and limitations</w:t>
      </w:r>
    </w:p>
    <w:p>
      <w:pPr>
        <w:pStyle w:val="ListBullet"/>
        <w:spacing w:after="30"/>
      </w:pPr>
      <w:r>
        <w:t>Describe the portal total as 85 responsive files. Do not automatically equate it with 85 unique detections because the accompanying CSV contains 80 rows.</w:t>
      </w:r>
    </w:p>
    <w:p>
      <w:pPr>
        <w:pStyle w:val="Heading2"/>
      </w:pPr>
      <w:r>
        <w:t>H-012 - Flock Safety Search-Results CSV</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Vendor-generated agency record</w:t>
            </w:r>
          </w:p>
        </w:tc>
      </w:tr>
      <w:tr>
        <w:tc>
          <w:tcPr>
            <w:tcW w:type="dxa" w:w="5083"/>
          </w:tcPr>
          <w:p>
            <w:r>
              <w:t>Handling</w:t>
            </w:r>
          </w:p>
        </w:tc>
        <w:tc>
          <w:tcPr>
            <w:tcW w:type="dxa" w:w="5083"/>
          </w:tcPr>
          <w:p>
            <w:r>
              <w:t>Restricted repository / legislative evidentiary</w:t>
            </w:r>
          </w:p>
        </w:tc>
      </w:tr>
    </w:tbl>
    <w:p>
      <w:pPr>
        <w:spacing w:after="80"/>
      </w:pPr>
      <w:r>
        <w:rPr>
          <w:i w:val="0"/>
        </w:rPr>
        <w:t>Filename: Flock_Safety_Search_Results_7-1-2026_10-49-46AM.csv. The CSV contains 80 tabular records associated with the identified vehicle. Fields include plate, state, date, time, make, body, color, identifiers, capture network, camera, geographic coordinates, and corresponding image filename.</w:t>
      </w:r>
    </w:p>
    <w:p>
      <w:pPr>
        <w:pStyle w:val="Heading3"/>
      </w:pPr>
      <w:r>
        <w:t>Supports</w:t>
      </w:r>
    </w:p>
    <w:p>
      <w:pPr>
        <w:pStyle w:val="ListBullet"/>
        <w:spacing w:after="30"/>
      </w:pPr>
      <w:r>
        <w:t>Attachment D production summary</w:t>
      </w:r>
    </w:p>
    <w:p>
      <w:pPr>
        <w:pStyle w:val="ListBullet"/>
        <w:spacing w:after="30"/>
      </w:pPr>
      <w:r>
        <w:t>Attachment E spreadsheet analysis</w:t>
      </w:r>
    </w:p>
    <w:p>
      <w:pPr>
        <w:pStyle w:val="ListBullet"/>
        <w:spacing w:after="30"/>
      </w:pPr>
      <w:r>
        <w:t>Time-span and location findings</w:t>
      </w:r>
    </w:p>
    <w:p>
      <w:pPr>
        <w:pStyle w:val="ListBullet"/>
        <w:spacing w:after="30"/>
      </w:pPr>
      <w:r>
        <w:t>Data-quality example</w:t>
      </w:r>
    </w:p>
    <w:p>
      <w:pPr>
        <w:pStyle w:val="ListBullet"/>
        <w:spacing w:after="30"/>
      </w:pPr>
      <w:r>
        <w:t>85-file versus 80-row distinction</w:t>
      </w:r>
    </w:p>
    <w:p>
      <w:pPr>
        <w:pStyle w:val="Heading3"/>
      </w:pPr>
      <w:r>
        <w:t>Notes and limitations</w:t>
      </w:r>
    </w:p>
    <w:p>
      <w:pPr>
        <w:pStyle w:val="ListBullet"/>
        <w:spacing w:after="30"/>
      </w:pPr>
      <w:r>
        <w:t>At least one visible row classified the vehicle as Ram while surrounding records and photographs identify a Chevrolet pickup. Present this as an inconsistent automated descriptor, not a calculated error rate.</w:t>
      </w:r>
    </w:p>
    <w:p>
      <w:pPr>
        <w:pStyle w:val="Heading2"/>
      </w:pPr>
      <w:r>
        <w:t>H-013 - Original Sherwood Responsive Image Archive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Vendor-generated agency records</w:t>
            </w:r>
          </w:p>
        </w:tc>
      </w:tr>
      <w:tr>
        <w:tc>
          <w:tcPr>
            <w:tcW w:type="dxa" w:w="5083"/>
          </w:tcPr>
          <w:p>
            <w:r>
              <w:t>Handling</w:t>
            </w:r>
          </w:p>
        </w:tc>
        <w:tc>
          <w:tcPr>
            <w:tcW w:type="dxa" w:w="5083"/>
          </w:tcPr>
          <w:p>
            <w:r>
              <w:t>Restricted repository / legislative evidentiary</w:t>
            </w:r>
          </w:p>
        </w:tc>
      </w:tr>
    </w:tbl>
    <w:p>
      <w:pPr>
        <w:spacing w:after="80"/>
      </w:pPr>
      <w:r>
        <w:rPr>
          <w:i w:val="0"/>
        </w:rPr>
        <w:t>Filename: Records_Request_Download_CITY-2026-112_2026-07-01--14-44-08(1).zip. The archive contains the images and files produced through CITY-2026-112.</w:t>
      </w:r>
    </w:p>
    <w:p>
      <w:pPr>
        <w:pStyle w:val="Heading3"/>
      </w:pPr>
      <w:r>
        <w:t>Notes and limitations</w:t>
      </w:r>
    </w:p>
    <w:p>
      <w:pPr>
        <w:pStyle w:val="ListBullet"/>
        <w:spacing w:after="30"/>
      </w:pPr>
      <w:r>
        <w:t>Preserve the original archive unchanged;</w:t>
      </w:r>
    </w:p>
    <w:p>
      <w:pPr>
        <w:pStyle w:val="ListBullet"/>
        <w:spacing w:after="30"/>
      </w:pPr>
      <w:r>
        <w:t>Calculate and record a SHA-256 hash;</w:t>
      </w:r>
    </w:p>
    <w:p>
      <w:pPr>
        <w:pStyle w:val="ListBullet"/>
        <w:spacing w:after="30"/>
      </w:pPr>
      <w:r>
        <w:t>Maintain a read-only master copy;</w:t>
      </w:r>
    </w:p>
    <w:p>
      <w:pPr>
        <w:pStyle w:val="ListBullet"/>
        <w:spacing w:after="30"/>
      </w:pPr>
      <w:r>
        <w:t>Work only from duplicates;</w:t>
      </w:r>
    </w:p>
    <w:p>
      <w:pPr>
        <w:pStyle w:val="ListBullet"/>
        <w:spacing w:after="30"/>
      </w:pPr>
      <w:r>
        <w:t>Record the original filename and download date;</w:t>
      </w:r>
    </w:p>
    <w:p>
      <w:pPr>
        <w:pStyle w:val="ListBullet"/>
        <w:spacing w:after="30"/>
      </w:pPr>
      <w:r>
        <w:t>Do not rename the master archive; and</w:t>
      </w:r>
    </w:p>
    <w:p>
      <w:pPr>
        <w:pStyle w:val="ListBullet"/>
        <w:spacing w:after="30"/>
      </w:pPr>
      <w:r>
        <w:t>Maintain redacted public-reference images separately.</w:t>
      </w:r>
    </w:p>
    <w:p>
      <w:pPr>
        <w:pStyle w:val="Heading2"/>
      </w:pPr>
      <w:r>
        <w:t>H-014 - Representative Sherwood ALPR Images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Vendor-generated agency records</w:t>
            </w:r>
          </w:p>
        </w:tc>
      </w:tr>
      <w:tr>
        <w:tc>
          <w:tcPr>
            <w:tcW w:type="dxa" w:w="5083"/>
          </w:tcPr>
          <w:p>
            <w:r>
              <w:t>Handling</w:t>
            </w:r>
          </w:p>
        </w:tc>
        <w:tc>
          <w:tcPr>
            <w:tcW w:type="dxa" w:w="5083"/>
          </w:tcPr>
          <w:p>
            <w:r>
              <w:t>Legislative evidentiary / public with plate redaction</w:t>
            </w:r>
          </w:p>
        </w:tc>
      </w:tr>
    </w:tbl>
    <w:p>
      <w:pPr>
        <w:spacing w:after="80"/>
      </w:pPr>
      <w:r>
        <w:rPr>
          <w:i w:val="0"/>
        </w:rPr>
        <w:t>Representative images include Brockington Road northbound and southbound, Warden Road near Saltgrass Steakhouse, Kellogg Acres Road, Highway 107, West Maryland Avenue, Landers Road, Wildwood Avenue, and Jacksonville Cutoff Road.</w:t>
      </w:r>
    </w:p>
    <w:p>
      <w:pPr>
        <w:pStyle w:val="Heading3"/>
      </w:pPr>
      <w:r>
        <w:t>Supports</w:t>
      </w:r>
    </w:p>
    <w:p>
      <w:pPr>
        <w:pStyle w:val="ListBullet"/>
        <w:spacing w:after="30"/>
      </w:pPr>
      <w:r>
        <w:t>Attachment E Figures E-1 through E-4</w:t>
      </w:r>
    </w:p>
    <w:p>
      <w:pPr>
        <w:pStyle w:val="ListBullet"/>
        <w:spacing w:after="30"/>
      </w:pPr>
      <w:r>
        <w:t>Repeated-observation finding</w:t>
      </w:r>
    </w:p>
    <w:p>
      <w:pPr>
        <w:pStyle w:val="ListBullet"/>
        <w:spacing w:after="30"/>
      </w:pPr>
      <w:r>
        <w:t>Visible plate and location detail</w:t>
      </w:r>
    </w:p>
    <w:p>
      <w:pPr>
        <w:pStyle w:val="ListBullet"/>
        <w:spacing w:after="30"/>
      </w:pPr>
      <w:r>
        <w:t>Cumulative-record analysis</w:t>
      </w:r>
    </w:p>
    <w:p>
      <w:pPr>
        <w:pStyle w:val="Heading3"/>
      </w:pPr>
      <w:r>
        <w:t>Notes and limitations</w:t>
      </w:r>
    </w:p>
    <w:p>
      <w:pPr>
        <w:pStyle w:val="ListBullet"/>
        <w:spacing w:after="30"/>
      </w:pPr>
      <w:r>
        <w:t>The legislative evidentiary copy may retain the plate where necessary for verification. Public-reference copies should mask the plate and unnecessary coordinates.</w:t>
      </w:r>
    </w:p>
    <w:p>
      <w:pPr>
        <w:pStyle w:val="Heading2"/>
      </w:pPr>
      <w:r>
        <w:t>H-015 - Screenshot of Responsive Image Production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Screenshot or preservation copy</w:t>
            </w:r>
          </w:p>
        </w:tc>
      </w:tr>
      <w:tr>
        <w:tc>
          <w:tcPr>
            <w:tcW w:type="dxa" w:w="5083"/>
          </w:tcPr>
          <w:p>
            <w:r>
              <w:t>Handling</w:t>
            </w:r>
          </w:p>
        </w:tc>
        <w:tc>
          <w:tcPr>
            <w:tcW w:type="dxa" w:w="5083"/>
          </w:tcPr>
          <w:p>
            <w:r>
              <w:t>Public with redaction / legislative evidentiary</w:t>
            </w:r>
          </w:p>
        </w:tc>
      </w:tr>
    </w:tbl>
    <w:p>
      <w:pPr>
        <w:spacing w:after="80"/>
      </w:pPr>
      <w:r>
        <w:rPr>
          <w:i w:val="0"/>
        </w:rPr>
        <w:t>The screenshot displays multiple image thumbnails and shows that the response contained repeated photographs from multiple dates and locations.</w:t>
      </w:r>
    </w:p>
    <w:p>
      <w:pPr>
        <w:pStyle w:val="Heading3"/>
      </w:pPr>
      <w:r>
        <w:t>Supports</w:t>
      </w:r>
    </w:p>
    <w:p>
      <w:pPr>
        <w:pStyle w:val="ListBullet"/>
        <w:spacing w:after="30"/>
      </w:pPr>
      <w:r>
        <w:t>Attachment D evidence summary</w:t>
      </w:r>
    </w:p>
    <w:p>
      <w:pPr>
        <w:pStyle w:val="ListBullet"/>
        <w:spacing w:after="30"/>
      </w:pPr>
      <w:r>
        <w:t>Attachment E Figure E-5</w:t>
      </w:r>
    </w:p>
    <w:p>
      <w:pPr>
        <w:pStyle w:val="ListBullet"/>
        <w:spacing w:after="30"/>
      </w:pPr>
      <w:r>
        <w:t>Demonstration of production volume and repeated observations</w:t>
      </w:r>
    </w:p>
    <w:p>
      <w:pPr>
        <w:pStyle w:val="Heading2"/>
      </w:pPr>
      <w:r>
        <w:t>H-016 - Screenshot of Spreadsheet Production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Screenshot or preservation copy</w:t>
            </w:r>
          </w:p>
        </w:tc>
      </w:tr>
      <w:tr>
        <w:tc>
          <w:tcPr>
            <w:tcW w:type="dxa" w:w="5083"/>
          </w:tcPr>
          <w:p>
            <w:r>
              <w:t>Handling</w:t>
            </w:r>
          </w:p>
        </w:tc>
        <w:tc>
          <w:tcPr>
            <w:tcW w:type="dxa" w:w="5083"/>
          </w:tcPr>
          <w:p>
            <w:r>
              <w:t>Public with redaction / legislative evidentiary</w:t>
            </w:r>
          </w:p>
        </w:tc>
      </w:tr>
    </w:tbl>
    <w:p>
      <w:pPr>
        <w:spacing w:after="80"/>
      </w:pPr>
      <w:r>
        <w:rPr>
          <w:i w:val="0"/>
        </w:rPr>
        <w:t>The screenshot displays columns for plate, date, time, vehicle descriptors, capture network, camera, and coordinate information.</w:t>
      </w:r>
    </w:p>
    <w:p>
      <w:pPr>
        <w:pStyle w:val="Heading3"/>
      </w:pPr>
      <w:r>
        <w:t>Supports</w:t>
      </w:r>
    </w:p>
    <w:p>
      <w:pPr>
        <w:pStyle w:val="ListBullet"/>
        <w:spacing w:after="30"/>
      </w:pPr>
      <w:r>
        <w:t>Attachment D production description</w:t>
      </w:r>
    </w:p>
    <w:p>
      <w:pPr>
        <w:pStyle w:val="ListBullet"/>
        <w:spacing w:after="30"/>
      </w:pPr>
      <w:r>
        <w:t>Attachment E Figure E-6</w:t>
      </w:r>
    </w:p>
    <w:p>
      <w:pPr>
        <w:pStyle w:val="ListBullet"/>
        <w:spacing w:after="30"/>
      </w:pPr>
      <w:r>
        <w:t>Explanation of data fields</w:t>
      </w:r>
    </w:p>
    <w:p>
      <w:pPr>
        <w:pStyle w:val="ListBullet"/>
        <w:spacing w:after="30"/>
      </w:pPr>
      <w:r>
        <w:t>Data-quality review</w:t>
      </w:r>
    </w:p>
    <w:p>
      <w:pPr>
        <w:pStyle w:val="Heading2"/>
      </w:pPr>
      <w:r>
        <w:t>H-017 - Clarification and Preservation Letter</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Public-records correspondence</w:t>
            </w:r>
          </w:p>
        </w:tc>
      </w:tr>
      <w:tr>
        <w:tc>
          <w:tcPr>
            <w:tcW w:type="dxa" w:w="5083"/>
          </w:tcPr>
          <w:p>
            <w:r>
              <w:t>Handling</w:t>
            </w:r>
          </w:p>
        </w:tc>
        <w:tc>
          <w:tcPr>
            <w:tcW w:type="dxa" w:w="5083"/>
          </w:tcPr>
          <w:p>
            <w:r>
              <w:t>Public</w:t>
            </w:r>
          </w:p>
        </w:tc>
      </w:tr>
    </w:tbl>
    <w:p>
      <w:pPr>
        <w:spacing w:after="80"/>
      </w:pPr>
      <w:r>
        <w:rPr>
          <w:i w:val="0"/>
        </w:rPr>
        <w:t>Dated July 14, 2026. The letter stated that approximately 85 ALPR detections had been released for a vehicle unrelated to the requester and asked Sherwood to identify the legal basis for release. It also requested answers concerning verification, authorization, owner notification, policy review, and record preservation.</w:t>
      </w:r>
    </w:p>
    <w:p>
      <w:pPr>
        <w:pStyle w:val="Heading3"/>
      </w:pPr>
      <w:r>
        <w:t>Supports</w:t>
      </w:r>
    </w:p>
    <w:p>
      <w:pPr>
        <w:pStyle w:val="ListBullet"/>
        <w:spacing w:after="30"/>
      </w:pPr>
      <w:r>
        <w:t>Attachment F</w:t>
      </w:r>
    </w:p>
    <w:p>
      <w:pPr>
        <w:pStyle w:val="ListBullet"/>
        <w:spacing w:after="30"/>
      </w:pPr>
      <w:r>
        <w:t>Legislative-letter follow-up section</w:t>
      </w:r>
    </w:p>
    <w:p>
      <w:pPr>
        <w:pStyle w:val="ListBullet"/>
        <w:spacing w:after="30"/>
      </w:pPr>
      <w:r>
        <w:t>Complaint and preservation recommendations</w:t>
      </w:r>
    </w:p>
    <w:p>
      <w:pPr>
        <w:pStyle w:val="Heading3"/>
      </w:pPr>
      <w:r>
        <w:t>Notes and limitations</w:t>
      </w:r>
    </w:p>
    <w:p>
      <w:pPr>
        <w:pStyle w:val="ListBullet"/>
        <w:spacing w:after="30"/>
      </w:pPr>
      <w:r>
        <w:t>The repository includes versions reflecting different requester names in draft or final documents. Before publication, designate one authenticated sent version as controlling and identify all others as drafts or superseded copies.</w:t>
      </w:r>
    </w:p>
    <w:p>
      <w:pPr>
        <w:pStyle w:val="Heading2"/>
      </w:pPr>
      <w:r>
        <w:t>H-018 - Gmail Transmission Record</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Public-records correspondence / transmission evidence</w:t>
            </w:r>
          </w:p>
        </w:tc>
      </w:tr>
      <w:tr>
        <w:tc>
          <w:tcPr>
            <w:tcW w:type="dxa" w:w="5083"/>
          </w:tcPr>
          <w:p>
            <w:r>
              <w:t>Handling</w:t>
            </w:r>
          </w:p>
        </w:tc>
        <w:tc>
          <w:tcPr>
            <w:tcW w:type="dxa" w:w="5083"/>
          </w:tcPr>
          <w:p>
            <w:r>
              <w:t>Public with email-address review</w:t>
            </w:r>
          </w:p>
        </w:tc>
      </w:tr>
    </w:tbl>
    <w:p>
      <w:pPr>
        <w:spacing w:after="80"/>
      </w:pPr>
      <w:r>
        <w:rPr>
          <w:i w:val="0"/>
        </w:rPr>
        <w:t>The Gmail record shows transmission to the Sherwood Police Department and copied municipal recipients.</w:t>
      </w:r>
    </w:p>
    <w:p>
      <w:pPr>
        <w:pStyle w:val="Heading3"/>
      </w:pPr>
      <w:r>
        <w:t>Supports</w:t>
      </w:r>
    </w:p>
    <w:p>
      <w:pPr>
        <w:pStyle w:val="ListBullet"/>
        <w:spacing w:after="30"/>
      </w:pPr>
      <w:r>
        <w:t>Attachment F transmission section</w:t>
      </w:r>
    </w:p>
    <w:p>
      <w:pPr>
        <w:pStyle w:val="ListBullet"/>
        <w:spacing w:after="30"/>
      </w:pPr>
      <w:r>
        <w:t>Recipient list</w:t>
      </w:r>
    </w:p>
    <w:p>
      <w:pPr>
        <w:pStyle w:val="ListBullet"/>
        <w:spacing w:after="30"/>
      </w:pPr>
      <w:r>
        <w:t>Statement that correspondence was sent</w:t>
      </w:r>
    </w:p>
    <w:p>
      <w:pPr>
        <w:pStyle w:val="Heading3"/>
      </w:pPr>
      <w:r>
        <w:t>Notes and limitations</w:t>
      </w:r>
    </w:p>
    <w:p>
      <w:pPr>
        <w:pStyle w:val="ListBullet"/>
        <w:spacing w:after="30"/>
      </w:pPr>
      <w:r>
        <w:t>The record proves sending, not that each recipient opened or read the message.</w:t>
      </w:r>
    </w:p>
    <w:p>
      <w:pPr>
        <w:pStyle w:val="Heading2"/>
      </w:pPr>
      <w:r>
        <w:t>H-019 - Delivery-Failure Notice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Transmission evidence</w:t>
            </w:r>
          </w:p>
        </w:tc>
      </w:tr>
      <w:tr>
        <w:tc>
          <w:tcPr>
            <w:tcW w:type="dxa" w:w="5083"/>
          </w:tcPr>
          <w:p>
            <w:r>
              <w:t>Handling</w:t>
            </w:r>
          </w:p>
        </w:tc>
        <w:tc>
          <w:tcPr>
            <w:tcW w:type="dxa" w:w="5083"/>
          </w:tcPr>
          <w:p>
            <w:r>
              <w:t>Public</w:t>
            </w:r>
          </w:p>
        </w:tc>
      </w:tr>
    </w:tbl>
    <w:p>
      <w:pPr>
        <w:spacing w:after="80"/>
      </w:pPr>
      <w:r>
        <w:rPr>
          <w:i w:val="0"/>
        </w:rPr>
        <w:t>One listed council-member address generated a blocked-message or permanent-failure notice.</w:t>
      </w:r>
    </w:p>
    <w:p>
      <w:pPr>
        <w:pStyle w:val="Heading3"/>
      </w:pPr>
      <w:r>
        <w:t>Notes and limitations</w:t>
      </w:r>
    </w:p>
    <w:p>
      <w:pPr>
        <w:pStyle w:val="ListBullet"/>
        <w:spacing w:after="30"/>
      </w:pPr>
      <w:r>
        <w:t>Required wording: One listed council-member address generated a documented delivery failure; the available record does not show comparable delivery failures for the other listed recipients.</w:t>
      </w:r>
    </w:p>
    <w:p>
      <w:pPr>
        <w:pStyle w:val="Heading2"/>
      </w:pPr>
      <w:r>
        <w:t>H-020 - Response-Status Record</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administrative record</w:t>
            </w:r>
          </w:p>
        </w:tc>
      </w:tr>
      <w:tr>
        <w:tc>
          <w:tcPr>
            <w:tcW w:type="dxa" w:w="5083"/>
          </w:tcPr>
          <w:p>
            <w:r>
              <w:t>Handling</w:t>
            </w:r>
          </w:p>
        </w:tc>
        <w:tc>
          <w:tcPr>
            <w:tcW w:type="dxa" w:w="5083"/>
          </w:tcPr>
          <w:p>
            <w:r>
              <w:t>Public</w:t>
            </w:r>
          </w:p>
        </w:tc>
      </w:tr>
    </w:tbl>
    <w:p>
      <w:pPr>
        <w:spacing w:after="80"/>
      </w:pPr>
      <w:r>
        <w:rPr>
          <w:i w:val="0"/>
        </w:rPr>
        <w:t>A dated project log should document whether any response was received after July 14, 2026.</w:t>
      </w:r>
    </w:p>
    <w:p>
      <w:pPr>
        <w:pStyle w:val="Heading3"/>
      </w:pPr>
      <w:r>
        <w:t>Notes and limitations</w:t>
      </w:r>
    </w:p>
    <w:p>
      <w:pPr>
        <w:pStyle w:val="ListBullet"/>
        <w:spacing w:after="30"/>
      </w:pPr>
      <w:r>
        <w:t>Required fields: date checked, account or portal checked, sender, nature of response, whether seven questions were answered, whether preservation was confirmed, and link to any responsive record.</w:t>
      </w:r>
    </w:p>
    <w:p>
      <w:pPr>
        <w:pStyle w:val="ListBullet"/>
        <w:spacing w:after="30"/>
      </w:pPr>
      <w:r>
        <w:t>The phrase no substantive response received should always include an as-of date.</w:t>
      </w:r>
    </w:p>
    <w:p>
      <w:pPr>
        <w:pStyle w:val="Heading1"/>
      </w:pPr>
      <w:r>
        <w:t>V. Cabot Evidence Group</w:t>
      </w:r>
    </w:p>
    <w:p>
      <w:pPr>
        <w:pStyle w:val="Heading2"/>
      </w:pPr>
      <w:r>
        <w:t>H-030 - Cabot ALPR Policy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Policy or administrative record</w:t>
            </w:r>
          </w:p>
        </w:tc>
      </w:tr>
      <w:tr>
        <w:tc>
          <w:tcPr>
            <w:tcW w:type="dxa" w:w="5083"/>
          </w:tcPr>
          <w:p>
            <w:r>
              <w:t>Handling</w:t>
            </w:r>
          </w:p>
        </w:tc>
        <w:tc>
          <w:tcPr>
            <w:tcW w:type="dxa" w:w="5083"/>
          </w:tcPr>
          <w:p>
            <w:r>
              <w:t>Public</w:t>
            </w:r>
          </w:p>
        </w:tc>
      </w:tr>
    </w:tbl>
    <w:p>
      <w:pPr>
        <w:spacing w:after="80"/>
      </w:pPr>
      <w:r>
        <w:rPr>
          <w:i w:val="0"/>
        </w:rPr>
        <w:t>Supports authorized purposes, policy effective date, user responsibilities, training, alert verification, retention, supervisory structure, and broad operational language.</w:t>
      </w:r>
    </w:p>
    <w:p>
      <w:pPr>
        <w:pStyle w:val="Heading3"/>
      </w:pPr>
      <w:r>
        <w:t>Supports</w:t>
      </w:r>
    </w:p>
    <w:p>
      <w:pPr>
        <w:pStyle w:val="ListBullet"/>
        <w:spacing w:after="30"/>
      </w:pPr>
      <w:r>
        <w:t>Attachments A, B, and G</w:t>
      </w:r>
    </w:p>
    <w:p>
      <w:pPr>
        <w:pStyle w:val="Heading2"/>
      </w:pPr>
      <w:r>
        <w:t>H-031 - Cabot Practice-and-Usage Report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statistical record</w:t>
            </w:r>
          </w:p>
        </w:tc>
      </w:tr>
      <w:tr>
        <w:tc>
          <w:tcPr>
            <w:tcW w:type="dxa" w:w="5083"/>
          </w:tcPr>
          <w:p>
            <w:r>
              <w:t>Handling</w:t>
            </w:r>
          </w:p>
        </w:tc>
        <w:tc>
          <w:tcPr>
            <w:tcW w:type="dxa" w:w="5083"/>
          </w:tcPr>
          <w:p>
            <w:r>
              <w:t>Public</w:t>
            </w:r>
          </w:p>
        </w:tc>
      </w:tr>
    </w:tbl>
    <w:p>
      <w:pPr>
        <w:spacing w:after="80"/>
      </w:pPr>
      <w:r>
        <w:rPr>
          <w:i w:val="0"/>
        </w:rPr>
        <w:t>Supports more than seven million scans during a six-month period, positive alerts, noncorrelating matches, false or unconfirmed results, arrest-and-prosecution reporting, and scale-to-outcome comparison.</w:t>
      </w:r>
    </w:p>
    <w:p>
      <w:pPr>
        <w:pStyle w:val="Heading3"/>
      </w:pPr>
      <w:r>
        <w:t>Notes and limitations</w:t>
      </w:r>
    </w:p>
    <w:p>
      <w:pPr>
        <w:pStyle w:val="ListBullet"/>
        <w:spacing w:after="30"/>
      </w:pPr>
      <w:r>
        <w:t>Quote or paraphrase report terminology accurately. Do not convert arrest and prosecution into conviction.</w:t>
      </w:r>
    </w:p>
    <w:p>
      <w:pPr>
        <w:pStyle w:val="Heading2"/>
      </w:pPr>
      <w:r>
        <w:t>H-032 - Cabot Supporting Statistical Spreadsheet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record</w:t>
            </w:r>
          </w:p>
        </w:tc>
      </w:tr>
      <w:tr>
        <w:tc>
          <w:tcPr>
            <w:tcW w:type="dxa" w:w="5083"/>
          </w:tcPr>
          <w:p>
            <w:r>
              <w:t>Handling</w:t>
            </w:r>
          </w:p>
        </w:tc>
        <w:tc>
          <w:tcPr>
            <w:tcW w:type="dxa" w:w="5083"/>
          </w:tcPr>
          <w:p>
            <w:r>
              <w:t>Public</w:t>
            </w:r>
          </w:p>
        </w:tc>
      </w:tr>
    </w:tbl>
    <w:p>
      <w:pPr>
        <w:spacing w:after="80"/>
      </w:pPr>
      <w:r>
        <w:rPr>
          <w:i w:val="0"/>
        </w:rPr>
        <w:t>Supports alert categories, warrant-related records, stolen vehicles, stolen plates, sex-offender alerts, an Other category, and monthly or semiannual totals.</w:t>
      </w:r>
    </w:p>
    <w:p>
      <w:pPr>
        <w:pStyle w:val="Heading3"/>
      </w:pPr>
      <w:r>
        <w:t>Notes and limitations</w:t>
      </w:r>
    </w:p>
    <w:p>
      <w:pPr>
        <w:pStyle w:val="ListBullet"/>
        <w:spacing w:after="30"/>
      </w:pPr>
      <w:r>
        <w:t>The contents of Other require agency clarification before assigning a definitive meaning.</w:t>
      </w:r>
    </w:p>
    <w:p>
      <w:pPr>
        <w:pStyle w:val="Heading2"/>
      </w:pPr>
      <w:r>
        <w:t>H-033 - Cabot Contract and Procurement Records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Contract or procurement records</w:t>
            </w:r>
          </w:p>
        </w:tc>
      </w:tr>
      <w:tr>
        <w:tc>
          <w:tcPr>
            <w:tcW w:type="dxa" w:w="5083"/>
          </w:tcPr>
          <w:p>
            <w:r>
              <w:t>Handling</w:t>
            </w:r>
          </w:p>
        </w:tc>
        <w:tc>
          <w:tcPr>
            <w:tcW w:type="dxa" w:w="5083"/>
          </w:tcPr>
          <w:p>
            <w:r>
              <w:t>Public</w:t>
            </w:r>
          </w:p>
        </w:tc>
      </w:tr>
    </w:tbl>
    <w:p>
      <w:pPr>
        <w:spacing w:after="80"/>
      </w:pPr>
      <w:r>
        <w:rPr>
          <w:i w:val="0"/>
        </w:rPr>
        <w:t>Supports system provider, contract dates, value, funding source, camera quantities, renewal periods, equipment or subscription structure, and procurement chronology.</w:t>
      </w:r>
    </w:p>
    <w:p>
      <w:pPr>
        <w:pStyle w:val="Heading1"/>
      </w:pPr>
      <w:r>
        <w:t>VI. Jacksonville Evidence Group</w:t>
      </w:r>
    </w:p>
    <w:p>
      <w:pPr>
        <w:pStyle w:val="Heading2"/>
      </w:pPr>
      <w:r>
        <w:t>H-040 - Jacksonville ALPR Policy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Policy or administrative record</w:t>
            </w:r>
          </w:p>
        </w:tc>
      </w:tr>
      <w:tr>
        <w:tc>
          <w:tcPr>
            <w:tcW w:type="dxa" w:w="5083"/>
          </w:tcPr>
          <w:p>
            <w:r>
              <w:t>Handling</w:t>
            </w:r>
          </w:p>
        </w:tc>
        <w:tc>
          <w:tcPr>
            <w:tcW w:type="dxa" w:w="5083"/>
          </w:tcPr>
          <w:p>
            <w:r>
              <w:t>Public</w:t>
            </w:r>
          </w:p>
        </w:tc>
      </w:tr>
    </w:tbl>
    <w:p>
      <w:pPr>
        <w:spacing w:after="80"/>
      </w:pPr>
      <w:r>
        <w:rPr>
          <w:i w:val="0"/>
        </w:rPr>
        <w:t>Supports authorized use, general 150-day retention, ongoing-investigation retention, destruction at the conclusion of an investigation or criminal action, user responsibilities, and agency administration.</w:t>
      </w:r>
    </w:p>
    <w:p>
      <w:pPr>
        <w:pStyle w:val="Heading2"/>
      </w:pPr>
      <w:r>
        <w:t>H-041 - Jacksonville Sharing-Network Records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or vendor-derived record</w:t>
            </w:r>
          </w:p>
        </w:tc>
      </w:tr>
      <w:tr>
        <w:tc>
          <w:tcPr>
            <w:tcW w:type="dxa" w:w="5083"/>
          </w:tcPr>
          <w:p>
            <w:r>
              <w:t>Handling</w:t>
            </w:r>
          </w:p>
        </w:tc>
        <w:tc>
          <w:tcPr>
            <w:tcW w:type="dxa" w:w="5083"/>
          </w:tcPr>
          <w:p>
            <w:r>
              <w:t>Public</w:t>
            </w:r>
          </w:p>
        </w:tc>
      </w:tr>
    </w:tbl>
    <w:p>
      <w:pPr>
        <w:spacing w:after="80"/>
      </w:pPr>
      <w:r>
        <w:rPr>
          <w:i w:val="0"/>
        </w:rPr>
        <w:t>Supports Flock Safety and Motorola VehicleManager network participation figures, scale of available interagency connectivity, and questions regarding standing access and interstate use.</w:t>
      </w:r>
    </w:p>
    <w:p>
      <w:pPr>
        <w:pStyle w:val="Heading3"/>
      </w:pPr>
      <w:r>
        <w:t>Notes and limitations</w:t>
      </w:r>
    </w:p>
    <w:p>
      <w:pPr>
        <w:pStyle w:val="ListBullet"/>
        <w:spacing w:after="30"/>
      </w:pPr>
      <w:r>
        <w:t>Network participation does not establish that every listed agency accessed Jacksonville records.</w:t>
      </w:r>
    </w:p>
    <w:p>
      <w:pPr>
        <w:pStyle w:val="Heading2"/>
      </w:pPr>
      <w:r>
        <w:t>H-042 - Jacksonville Administrative-Record Availability Response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Public-records correspondence / primary agency response</w:t>
            </w:r>
          </w:p>
        </w:tc>
      </w:tr>
      <w:tr>
        <w:tc>
          <w:tcPr>
            <w:tcW w:type="dxa" w:w="5083"/>
          </w:tcPr>
          <w:p>
            <w:r>
              <w:t>Handling</w:t>
            </w:r>
          </w:p>
        </w:tc>
        <w:tc>
          <w:tcPr>
            <w:tcW w:type="dxa" w:w="5083"/>
          </w:tcPr>
          <w:p>
            <w:r>
              <w:t>Public</w:t>
            </w:r>
          </w:p>
        </w:tc>
      </w:tr>
    </w:tbl>
    <w:p>
      <w:pPr>
        <w:spacing w:after="80"/>
      </w:pPr>
      <w:r>
        <w:rPr>
          <w:i w:val="0"/>
        </w:rPr>
        <w:t>Supports records identified as available or unavailable, vendor audit records unavailable to the local end user, compliance-review categories, supervisory audit categories, and administrative oversight questions.</w:t>
      </w:r>
    </w:p>
    <w:p>
      <w:pPr>
        <w:pStyle w:val="Heading3"/>
      </w:pPr>
      <w:r>
        <w:t>Notes and limitations</w:t>
      </w:r>
    </w:p>
    <w:p>
      <w:pPr>
        <w:pStyle w:val="ListBullet"/>
        <w:spacing w:after="30"/>
      </w:pPr>
      <w:r>
        <w:t>Use reported unavailable or not identified in the records produced, rather than concluding that oversight did not occur.</w:t>
      </w:r>
    </w:p>
    <w:p>
      <w:pPr>
        <w:pStyle w:val="Heading2"/>
      </w:pPr>
      <w:r>
        <w:t>H-043 - Jacksonville Vendor-Custody Correspondence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Public-records correspondence</w:t>
            </w:r>
          </w:p>
        </w:tc>
      </w:tr>
      <w:tr>
        <w:tc>
          <w:tcPr>
            <w:tcW w:type="dxa" w:w="5083"/>
          </w:tcPr>
          <w:p>
            <w:r>
              <w:t>Handling</w:t>
            </w:r>
          </w:p>
        </w:tc>
        <w:tc>
          <w:tcPr>
            <w:tcW w:type="dxa" w:w="5083"/>
          </w:tcPr>
          <w:p>
            <w:r>
              <w:t>Public</w:t>
            </w:r>
          </w:p>
        </w:tc>
      </w:tr>
    </w:tbl>
    <w:p>
      <w:pPr>
        <w:spacing w:after="80"/>
      </w:pPr>
      <w:r>
        <w:rPr>
          <w:i w:val="0"/>
        </w:rPr>
        <w:t>Supports the distinction between local agency records and vendor-maintained records, availability of native exports, complexity of production, agency reliance on vendor systems, and the need for contractual access to audit records.</w:t>
      </w:r>
    </w:p>
    <w:p>
      <w:pPr>
        <w:pStyle w:val="Heading1"/>
      </w:pPr>
      <w:r>
        <w:t>VII. Pulaski County Evidence Group</w:t>
      </w:r>
    </w:p>
    <w:p>
      <w:pPr>
        <w:pStyle w:val="Heading2"/>
      </w:pPr>
      <w:r>
        <w:t>H-050 - Pulaski County General Policy 08-018</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Policy or administrative record</w:t>
            </w:r>
          </w:p>
        </w:tc>
      </w:tr>
      <w:tr>
        <w:tc>
          <w:tcPr>
            <w:tcW w:type="dxa" w:w="5083"/>
          </w:tcPr>
          <w:p>
            <w:r>
              <w:t>Handling</w:t>
            </w:r>
          </w:p>
        </w:tc>
        <w:tc>
          <w:tcPr>
            <w:tcW w:type="dxa" w:w="5083"/>
          </w:tcPr>
          <w:p>
            <w:r>
              <w:t>Public</w:t>
            </w:r>
          </w:p>
        </w:tc>
      </w:tr>
    </w:tbl>
    <w:p>
      <w:pPr>
        <w:spacing w:after="80"/>
      </w:pPr>
      <w:r>
        <w:rPr>
          <w:i w:val="0"/>
        </w:rPr>
        <w:t>Supports authorized uses, definition of an ALPR hit, independent verification requirements, training, program supervision, mobile and fixed equipment, and treatment of alerts as investigative leads or reasonable suspicion.</w:t>
      </w:r>
    </w:p>
    <w:p>
      <w:pPr>
        <w:pStyle w:val="Heading2"/>
      </w:pPr>
      <w:r>
        <w:t>H-051 - Pulaski County Flock-Specific Policy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Policy or administrative record</w:t>
            </w:r>
          </w:p>
        </w:tc>
      </w:tr>
      <w:tr>
        <w:tc>
          <w:tcPr>
            <w:tcW w:type="dxa" w:w="5083"/>
          </w:tcPr>
          <w:p>
            <w:r>
              <w:t>Handling</w:t>
            </w:r>
          </w:p>
        </w:tc>
        <w:tc>
          <w:tcPr>
            <w:tcW w:type="dxa" w:w="5083"/>
          </w:tcPr>
          <w:p>
            <w:r>
              <w:t>Public</w:t>
            </w:r>
          </w:p>
        </w:tc>
      </w:tr>
    </w:tbl>
    <w:p>
      <w:pPr>
        <w:spacing w:after="80"/>
      </w:pPr>
      <w:r>
        <w:rPr>
          <w:i w:val="0"/>
        </w:rPr>
        <w:t>Supports Flock-specific operation, hot-list use, image retention or later review, missing-person and criminal-activity purposes, and policy drafting or template issues.</w:t>
      </w:r>
    </w:p>
    <w:p>
      <w:pPr>
        <w:pStyle w:val="Heading3"/>
      </w:pPr>
      <w:r>
        <w:t>Notes and limitations</w:t>
      </w:r>
    </w:p>
    <w:p>
      <w:pPr>
        <w:pStyle w:val="ListBullet"/>
        <w:spacing w:after="30"/>
      </w:pPr>
      <w:r>
        <w:t>A reference to another state's law should be quoted accurately and presented as a drafting concern requiring clarification, not proof that Pulaski County applied another state's law.</w:t>
      </w:r>
    </w:p>
    <w:p>
      <w:pPr>
        <w:pStyle w:val="Heading2"/>
      </w:pPr>
      <w:r>
        <w:t>H-052 - Pulaski County Offense-Type or Usage Report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statistical record</w:t>
            </w:r>
          </w:p>
        </w:tc>
      </w:tr>
      <w:tr>
        <w:tc>
          <w:tcPr>
            <w:tcW w:type="dxa" w:w="5083"/>
          </w:tcPr>
          <w:p>
            <w:r>
              <w:t>Handling</w:t>
            </w:r>
          </w:p>
        </w:tc>
        <w:tc>
          <w:tcPr>
            <w:tcW w:type="dxa" w:w="5083"/>
          </w:tcPr>
          <w:p>
            <w:r>
              <w:t>Public</w:t>
            </w:r>
          </w:p>
        </w:tc>
      </w:tr>
    </w:tbl>
    <w:p>
      <w:pPr>
        <w:spacing w:after="80"/>
      </w:pPr>
      <w:r>
        <w:rPr>
          <w:i w:val="0"/>
        </w:rPr>
        <w:t>Supports a traffic-infraction category, other offense categories, reported system use, and questions concerning whether routine traffic enforcement is authorized.</w:t>
      </w:r>
    </w:p>
    <w:p>
      <w:pPr>
        <w:pStyle w:val="Heading3"/>
      </w:pPr>
      <w:r>
        <w:t>Notes and limitations</w:t>
      </w:r>
    </w:p>
    <w:p>
      <w:pPr>
        <w:pStyle w:val="ListBullet"/>
        <w:spacing w:after="30"/>
      </w:pPr>
      <w:r>
        <w:t>The category does not independently establish the facts or lawfulness of any specific search.</w:t>
      </w:r>
    </w:p>
    <w:p>
      <w:pPr>
        <w:pStyle w:val="Heading1"/>
      </w:pPr>
      <w:r>
        <w:t>VIII. Sherwood Search and Sharing Evidence Group</w:t>
      </w:r>
    </w:p>
    <w:p>
      <w:pPr>
        <w:pStyle w:val="Heading2"/>
      </w:pPr>
      <w:r>
        <w:t>H-060 - Sherwood Search Audit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Vendor-generated agency audit record</w:t>
            </w:r>
          </w:p>
        </w:tc>
      </w:tr>
      <w:tr>
        <w:tc>
          <w:tcPr>
            <w:tcW w:type="dxa" w:w="5083"/>
          </w:tcPr>
          <w:p>
            <w:r>
              <w:t>Handling</w:t>
            </w:r>
          </w:p>
        </w:tc>
        <w:tc>
          <w:tcPr>
            <w:tcW w:type="dxa" w:w="5083"/>
          </w:tcPr>
          <w:p>
            <w:r>
              <w:t>Legislative evidentiary / public with user and plate redactions</w:t>
            </w:r>
          </w:p>
        </w:tc>
      </w:tr>
    </w:tbl>
    <w:p>
      <w:pPr>
        <w:spacing w:after="80"/>
      </w:pPr>
      <w:r>
        <w:rPr>
          <w:i w:val="0"/>
        </w:rPr>
        <w:t>Potential fields include user, organization, search date and time, plate, search reason, case-number field, search type, filters, text prompt, networks searched, and moderation or technical fields.</w:t>
      </w:r>
    </w:p>
    <w:p>
      <w:pPr>
        <w:pStyle w:val="Heading3"/>
      </w:pPr>
      <w:r>
        <w:t>Supports</w:t>
      </w:r>
    </w:p>
    <w:p>
      <w:pPr>
        <w:pStyle w:val="ListBullet"/>
        <w:spacing w:after="30"/>
      </w:pPr>
      <w:r>
        <w:t>Historical-search review</w:t>
      </w:r>
    </w:p>
    <w:p>
      <w:pPr>
        <w:pStyle w:val="ListBullet"/>
        <w:spacing w:after="30"/>
      </w:pPr>
      <w:r>
        <w:t>Traffic-related search findings</w:t>
      </w:r>
    </w:p>
    <w:p>
      <w:pPr>
        <w:pStyle w:val="ListBullet"/>
        <w:spacing w:after="30"/>
      </w:pPr>
      <w:r>
        <w:t>Broad-filter questions</w:t>
      </w:r>
    </w:p>
    <w:p>
      <w:pPr>
        <w:pStyle w:val="ListBullet"/>
        <w:spacing w:after="30"/>
      </w:pPr>
      <w:r>
        <w:t>Case-number completion review</w:t>
      </w:r>
    </w:p>
    <w:p>
      <w:pPr>
        <w:pStyle w:val="ListBullet"/>
        <w:spacing w:after="30"/>
      </w:pPr>
      <w:r>
        <w:t>Mandatory search-justification recommendations</w:t>
      </w:r>
    </w:p>
    <w:p>
      <w:pPr>
        <w:pStyle w:val="Heading2"/>
      </w:pPr>
      <w:r>
        <w:t>H-061 - Sherwood Network Audit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Vendor-generated agency audit record</w:t>
            </w:r>
          </w:p>
        </w:tc>
      </w:tr>
      <w:tr>
        <w:tc>
          <w:tcPr>
            <w:tcW w:type="dxa" w:w="5083"/>
          </w:tcPr>
          <w:p>
            <w:r>
              <w:t>Handling</w:t>
            </w:r>
          </w:p>
        </w:tc>
        <w:tc>
          <w:tcPr>
            <w:tcW w:type="dxa" w:w="5083"/>
          </w:tcPr>
          <w:p>
            <w:r>
              <w:t>Legislative evidentiary / public with redactions</w:t>
            </w:r>
          </w:p>
        </w:tc>
      </w:tr>
    </w:tbl>
    <w:p>
      <w:pPr>
        <w:spacing w:after="80"/>
      </w:pPr>
      <w:r>
        <w:rPr>
          <w:i w:val="0"/>
        </w:rPr>
        <w:t>Supports outside-agency searches, organizations accessing or searching available data, in-state and out-of-state activity, search purposes, network connectivity, and questions concerning standing access.</w:t>
      </w:r>
    </w:p>
    <w:p>
      <w:pPr>
        <w:pStyle w:val="Heading2"/>
      </w:pPr>
      <w:r>
        <w:t>H-062 - Sherwood Transparency-Portal Agency List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Public transparency record</w:t>
            </w:r>
          </w:p>
        </w:tc>
      </w:tr>
      <w:tr>
        <w:tc>
          <w:tcPr>
            <w:tcW w:type="dxa" w:w="5083"/>
          </w:tcPr>
          <w:p>
            <w:r>
              <w:t>Handling</w:t>
            </w:r>
          </w:p>
        </w:tc>
        <w:tc>
          <w:tcPr>
            <w:tcW w:type="dxa" w:w="5083"/>
          </w:tcPr>
          <w:p>
            <w:r>
              <w:t>Public</w:t>
            </w:r>
          </w:p>
        </w:tc>
      </w:tr>
    </w:tbl>
    <w:p>
      <w:pPr>
        <w:spacing w:after="80"/>
      </w:pPr>
      <w:r>
        <w:rPr>
          <w:i w:val="0"/>
        </w:rPr>
        <w:t>Supports listed partner or connected agencies, Arkansas and out-of-state entities, scale of sharing relationships, and publicly represented network configuration.</w:t>
      </w:r>
    </w:p>
    <w:p>
      <w:pPr>
        <w:pStyle w:val="Heading3"/>
      </w:pPr>
      <w:r>
        <w:t>Notes and limitations</w:t>
      </w:r>
    </w:p>
    <w:p>
      <w:pPr>
        <w:pStyle w:val="ListBullet"/>
        <w:spacing w:after="30"/>
      </w:pPr>
      <w:r>
        <w:t>A listed agency should not automatically be described as having actually searched or downloaded Sherwood data without supporting audit evidence.</w:t>
      </w:r>
    </w:p>
    <w:p>
      <w:pPr>
        <w:pStyle w:val="Heading2"/>
      </w:pPr>
      <w:r>
        <w:t>H-063 - Sherwood ALPR Policy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Policy or administrative record</w:t>
            </w:r>
          </w:p>
        </w:tc>
      </w:tr>
      <w:tr>
        <w:tc>
          <w:tcPr>
            <w:tcW w:type="dxa" w:w="5083"/>
          </w:tcPr>
          <w:p>
            <w:r>
              <w:t>Handling</w:t>
            </w:r>
          </w:p>
        </w:tc>
        <w:tc>
          <w:tcPr>
            <w:tcW w:type="dxa" w:w="5083"/>
          </w:tcPr>
          <w:p>
            <w:r>
              <w:t>Public</w:t>
            </w:r>
          </w:p>
        </w:tc>
      </w:tr>
    </w:tbl>
    <w:p>
      <w:pPr>
        <w:spacing w:after="80"/>
      </w:pPr>
      <w:r>
        <w:rPr>
          <w:i w:val="0"/>
        </w:rPr>
        <w:t>Supports written policy date, authorized uses, retention, sharing, user access, supervisory review, training, and public disclosure procedures if addressed.</w:t>
      </w:r>
    </w:p>
    <w:p>
      <w:pPr>
        <w:pStyle w:val="Heading3"/>
      </w:pPr>
      <w:r>
        <w:t>Notes and limitations</w:t>
      </w:r>
    </w:p>
    <w:p>
      <w:pPr>
        <w:pStyle w:val="ListBullet"/>
        <w:spacing w:after="30"/>
      </w:pPr>
      <w:r>
        <w:t>Where records suggest system use before adoption of the current policy, distinguish first operational date, any earlier policy, current-policy date, and whether earlier practices were governed by another written directive.</w:t>
      </w:r>
    </w:p>
    <w:p>
      <w:pPr>
        <w:pStyle w:val="Heading2"/>
      </w:pPr>
      <w:r>
        <w:t>H-064 - Sherwood Police Department Flock Camera Public Statement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Primary agency public statement / public transparency record</w:t>
            </w:r>
          </w:p>
        </w:tc>
      </w:tr>
      <w:tr>
        <w:tc>
          <w:tcPr>
            <w:tcW w:type="dxa" w:w="5083"/>
          </w:tcPr>
          <w:p>
            <w:r>
              <w:t>Handling</w:t>
            </w:r>
          </w:p>
        </w:tc>
        <w:tc>
          <w:tcPr>
            <w:tcW w:type="dxa" w:w="5083"/>
          </w:tcPr>
          <w:p>
            <w:r>
              <w:t>Public</w:t>
            </w:r>
          </w:p>
        </w:tc>
      </w:tr>
    </w:tbl>
    <w:p>
      <w:pPr/>
      <w:r>
        <w:t>City of Sherwood Live Feed item 11694401, published March 11, 2026, states that Sherwood contracted for Flock in October 2022; installed the first camera in January 2023 and the last on March 9, 2026; had made no payment before final installation and described the earlier operation as a trial; was finalizing its written policy; used the system for real-time alerts and historical searches across participating jurisdictions; did not use Flock for traffic enforcement; retrained an officer after a recent incident; and attributed assistance in 23 arrests to the system.</w:t>
      </w:r>
    </w:p>
    <w:p>
      <w:pPr>
        <w:pStyle w:val="Heading3"/>
      </w:pPr>
      <w:r>
        <w:t>Supports</w:t>
      </w:r>
    </w:p>
    <w:p>
      <w:pPr>
        <w:pStyle w:val="ListBullet"/>
      </w:pPr>
      <w:r>
        <w:t>Contract and implementation chronology</w:t>
      </w:r>
    </w:p>
    <w:p>
      <w:pPr>
        <w:pStyle w:val="ListBullet"/>
      </w:pPr>
      <w:r>
        <w:t>Trial-basis and payment-timing statements</w:t>
      </w:r>
    </w:p>
    <w:p>
      <w:pPr>
        <w:pStyle w:val="ListBullet"/>
      </w:pPr>
      <w:r>
        <w:t>Pre-policy operation and training chronology</w:t>
      </w:r>
    </w:p>
    <w:p>
      <w:pPr>
        <w:pStyle w:val="ListBullet"/>
      </w:pPr>
      <w:r>
        <w:t>Historical-search and cross-jurisdiction sharing capability</w:t>
      </w:r>
    </w:p>
    <w:p>
      <w:pPr>
        <w:pStyle w:val="ListBullet"/>
      </w:pPr>
      <w:r>
        <w:t>Traffic-enforcement and officer-retraining statements</w:t>
      </w:r>
    </w:p>
    <w:p>
      <w:pPr>
        <w:pStyle w:val="ListBullet"/>
      </w:pPr>
      <w:r>
        <w:t>Agency-reported outcome figure</w:t>
      </w:r>
    </w:p>
    <w:p>
      <w:pPr>
        <w:pStyle w:val="Heading3"/>
      </w:pPr>
      <w:r>
        <w:t>Notes and limitations</w:t>
      </w:r>
    </w:p>
    <w:p>
      <w:pPr>
        <w:pStyle w:val="ListBullet"/>
      </w:pPr>
      <w:r>
        <w:t>This record proves what the City publicly stated on March 11, 2026; it does not independently verify the underlying events, payment history, legality, policy compliance, or causal role of Flock in any arrest.</w:t>
      </w:r>
    </w:p>
    <w:p>
      <w:pPr>
        <w:pStyle w:val="ListBullet"/>
      </w:pPr>
      <w:r>
        <w:t>The no-payment statement is narrower than no invoice, no debt, or no contractual obligation; cite it exactly.</w:t>
      </w:r>
    </w:p>
    <w:p>
      <w:pPr>
        <w:pStyle w:val="ListBullet"/>
      </w:pPr>
      <w:r>
        <w:t>The 23-arrest assertion has no supporting case list or methodology on the page. The phrase last 3.5 years should be quoted as the City's wording; January 2023 to March 11, 2026 is approximately three years and two months.</w:t>
      </w:r>
    </w:p>
    <w:p>
      <w:pPr>
        <w:pStyle w:val="ListBullet"/>
      </w:pPr>
      <w:r>
        <w:t>The recent incident and officer are not identified on the page. The no-known-instances statement is expressly qualified.</w:t>
      </w:r>
    </w:p>
    <w:p>
      <w:pPr>
        <w:pStyle w:val="ListBullet"/>
      </w:pPr>
      <w:r>
        <w:t>The uploaded saved-page components omit the top-level page HTML; use the separate August 8, 2026 live-page screenshot, DOM snapshot, text extraction, URL, and hashes as the verification set.</w:t>
      </w:r>
    </w:p>
    <w:p>
      <w:pPr>
        <w:pStyle w:val="Heading1"/>
      </w:pPr>
      <w:r>
        <w:t>IX. ARAP Analytical Work Products</w:t>
      </w:r>
    </w:p>
    <w:p>
      <w:pPr>
        <w:pStyle w:val="Heading2"/>
      </w:pPr>
      <w:r>
        <w:t>H-070 - Legislative Review Letter</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Primary request to the Arkansas General Assembly asking for review of §§ 12-12-1801 through 12-12-1808.</w:t>
      </w:r>
    </w:p>
    <w:p>
      <w:pPr>
        <w:pStyle w:val="Heading2"/>
      </w:pPr>
      <w:r>
        <w:t>H-071 - Attachment A: Executive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Summarizes major cross-jurisdiction findings and legislative significance.</w:t>
      </w:r>
    </w:p>
    <w:p>
      <w:pPr>
        <w:pStyle w:val="Heading2"/>
      </w:pPr>
      <w:r>
        <w:t>H-072 - Attachment B: Jurisdiction Findings Matrix</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Compares Cabot, Sherwood, Jacksonville, and Pulaski County using uniform issue categories.</w:t>
      </w:r>
    </w:p>
    <w:p>
      <w:pPr>
        <w:pStyle w:val="Heading2"/>
      </w:pPr>
      <w:r>
        <w:t>H-073 - Attachment C: Statutory Questions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Organizes questions under each section of the ALPR Act.</w:t>
      </w:r>
    </w:p>
    <w:p>
      <w:pPr>
        <w:pStyle w:val="Heading2"/>
      </w:pPr>
      <w:r>
        <w:t>H-074 - Attachment D: Sherwood Responsive-Records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Documents CITY-2026-112, portal production, CSV, images, follow-up, and limitations.</w:t>
      </w:r>
    </w:p>
    <w:p>
      <w:pPr>
        <w:pStyle w:val="Heading2"/>
      </w:pPr>
      <w:r>
        <w:t>H-075 - Attachment E: Representative Sherwood Images and Spreadsheet Extract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Legislative evidentiary; separate redacted public version recommended</w:t>
            </w:r>
          </w:p>
        </w:tc>
      </w:tr>
    </w:tbl>
    <w:p>
      <w:pPr>
        <w:spacing w:after="80"/>
      </w:pPr>
      <w:r>
        <w:rPr>
          <w:i w:val="0"/>
        </w:rPr>
        <w:t>Presents representative visual records and explains their cumulative informational value.</w:t>
      </w:r>
    </w:p>
    <w:p>
      <w:pPr>
        <w:pStyle w:val="Heading2"/>
      </w:pPr>
      <w:r>
        <w:t>H-076 - Attachment F: Clarification and Preservation Correspondence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Documents the seven questions, preservation request, transmission record, one delivery failure, and response status.</w:t>
      </w:r>
    </w:p>
    <w:p>
      <w:pPr>
        <w:pStyle w:val="Heading2"/>
      </w:pPr>
      <w:r>
        <w:t>H-077 - Attachment G: Other Arkansas Jurisdictions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Information</w:t>
            </w:r>
          </w:p>
        </w:tc>
      </w:tr>
      <w:tr>
        <w:tc>
          <w:tcPr>
            <w:tcW w:type="dxa" w:w="5083"/>
          </w:tcPr>
          <w:p>
            <w:r>
              <w:t>Classification</w:t>
            </w:r>
          </w:p>
        </w:tc>
        <w:tc>
          <w:tcPr>
            <w:tcW w:type="dxa" w:w="5083"/>
          </w:tcPr>
          <w:p>
            <w:r>
              <w:t>ARAP analytical work product</w:t>
            </w:r>
          </w:p>
        </w:tc>
      </w:tr>
      <w:tr>
        <w:tc>
          <w:tcPr>
            <w:tcW w:type="dxa" w:w="5083"/>
          </w:tcPr>
          <w:p>
            <w:r>
              <w:t>Handling</w:t>
            </w:r>
          </w:p>
        </w:tc>
        <w:tc>
          <w:tcPr>
            <w:tcW w:type="dxa" w:w="5083"/>
          </w:tcPr>
          <w:p>
            <w:r>
              <w:t>Public</w:t>
            </w:r>
          </w:p>
        </w:tc>
      </w:tr>
    </w:tbl>
    <w:p>
      <w:pPr>
        <w:spacing w:after="80"/>
      </w:pPr>
      <w:r>
        <w:rPr>
          <w:i w:val="0"/>
        </w:rPr>
        <w:t>Summarizes usage, search, retention, sharing, oversight, and vendor-custody records.</w:t>
      </w:r>
    </w:p>
    <w:p>
      <w:pPr>
        <w:pStyle w:val="Heading1"/>
      </w:pPr>
      <w:r>
        <w:t>X. Recommended Master-Index Fields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Purpose</w:t>
            </w:r>
          </w:p>
        </w:tc>
      </w:tr>
      <w:tr>
        <w:tc>
          <w:tcPr>
            <w:tcW w:type="dxa" w:w="5083"/>
          </w:tcPr>
          <w:p>
            <w:r>
              <w:t>Evidence ID</w:t>
            </w:r>
          </w:p>
        </w:tc>
        <w:tc>
          <w:tcPr>
            <w:tcW w:type="dxa" w:w="5083"/>
          </w:tcPr>
          <w:p>
            <w:r>
              <w:t>Permanent unique identifier</w:t>
            </w:r>
          </w:p>
        </w:tc>
      </w:tr>
      <w:tr>
        <w:tc>
          <w:tcPr>
            <w:tcW w:type="dxa" w:w="5083"/>
          </w:tcPr>
          <w:p>
            <w:r>
              <w:t>Jurisdiction</w:t>
            </w:r>
          </w:p>
        </w:tc>
        <w:tc>
          <w:tcPr>
            <w:tcW w:type="dxa" w:w="5083"/>
          </w:tcPr>
          <w:p>
            <w:r>
              <w:t>Agency, city, county, state, vendor, or court</w:t>
            </w:r>
          </w:p>
        </w:tc>
      </w:tr>
      <w:tr>
        <w:tc>
          <w:tcPr>
            <w:tcW w:type="dxa" w:w="5083"/>
          </w:tcPr>
          <w:p>
            <w:r>
              <w:t>Source type</w:t>
            </w:r>
          </w:p>
        </w:tc>
        <w:tc>
          <w:tcPr>
            <w:tcW w:type="dxa" w:w="5083"/>
          </w:tcPr>
          <w:p>
            <w:r>
              <w:t>Policy, audit, contract, email, image, statute, etc.</w:t>
            </w:r>
          </w:p>
        </w:tc>
      </w:tr>
      <w:tr>
        <w:tc>
          <w:tcPr>
            <w:tcW w:type="dxa" w:w="5083"/>
          </w:tcPr>
          <w:p>
            <w:r>
              <w:t>Title</w:t>
            </w:r>
          </w:p>
        </w:tc>
        <w:tc>
          <w:tcPr>
            <w:tcW w:type="dxa" w:w="5083"/>
          </w:tcPr>
          <w:p>
            <w:r>
              <w:t>Exact source title</w:t>
            </w:r>
          </w:p>
        </w:tc>
      </w:tr>
      <w:tr>
        <w:tc>
          <w:tcPr>
            <w:tcW w:type="dxa" w:w="5083"/>
          </w:tcPr>
          <w:p>
            <w:r>
              <w:t>Original filename</w:t>
            </w:r>
          </w:p>
        </w:tc>
        <w:tc>
          <w:tcPr>
            <w:tcW w:type="dxa" w:w="5083"/>
          </w:tcPr>
          <w:p>
            <w:r>
              <w:t>Filename exactly as received</w:t>
            </w:r>
          </w:p>
        </w:tc>
      </w:tr>
      <w:tr>
        <w:tc>
          <w:tcPr>
            <w:tcW w:type="dxa" w:w="5083"/>
          </w:tcPr>
          <w:p>
            <w:r>
              <w:t>Working filename</w:t>
            </w:r>
          </w:p>
        </w:tc>
        <w:tc>
          <w:tcPr>
            <w:tcW w:type="dxa" w:w="5083"/>
          </w:tcPr>
          <w:p>
            <w:r>
              <w:t>Standardized project filename</w:t>
            </w:r>
          </w:p>
        </w:tc>
      </w:tr>
      <w:tr>
        <w:tc>
          <w:tcPr>
            <w:tcW w:type="dxa" w:w="5083"/>
          </w:tcPr>
          <w:p>
            <w:r>
              <w:t>Date created</w:t>
            </w:r>
          </w:p>
        </w:tc>
        <w:tc>
          <w:tcPr>
            <w:tcW w:type="dxa" w:w="5083"/>
          </w:tcPr>
          <w:p>
            <w:r>
              <w:t>Date shown on the source</w:t>
            </w:r>
          </w:p>
        </w:tc>
      </w:tr>
      <w:tr>
        <w:tc>
          <w:tcPr>
            <w:tcW w:type="dxa" w:w="5083"/>
          </w:tcPr>
          <w:p>
            <w:r>
              <w:t>Date received</w:t>
            </w:r>
          </w:p>
        </w:tc>
        <w:tc>
          <w:tcPr>
            <w:tcW w:type="dxa" w:w="5083"/>
          </w:tcPr>
          <w:p>
            <w:r>
              <w:t>Date obtained by ARAP</w:t>
            </w:r>
          </w:p>
        </w:tc>
      </w:tr>
      <w:tr>
        <w:tc>
          <w:tcPr>
            <w:tcW w:type="dxa" w:w="5083"/>
          </w:tcPr>
          <w:p>
            <w:r>
              <w:t>Request number</w:t>
            </w:r>
          </w:p>
        </w:tc>
        <w:tc>
          <w:tcPr>
            <w:tcW w:type="dxa" w:w="5083"/>
          </w:tcPr>
          <w:p>
            <w:r>
              <w:t>FOIA or portal reference</w:t>
            </w:r>
          </w:p>
        </w:tc>
      </w:tr>
      <w:tr>
        <w:tc>
          <w:tcPr>
            <w:tcW w:type="dxa" w:w="5083"/>
          </w:tcPr>
          <w:p>
            <w:r>
              <w:t>Reporting period</w:t>
            </w:r>
          </w:p>
        </w:tc>
        <w:tc>
          <w:tcPr>
            <w:tcW w:type="dxa" w:w="5083"/>
          </w:tcPr>
          <w:p>
            <w:r>
              <w:t>Period covered by the record</w:t>
            </w:r>
          </w:p>
        </w:tc>
      </w:tr>
      <w:tr>
        <w:tc>
          <w:tcPr>
            <w:tcW w:type="dxa" w:w="5083"/>
          </w:tcPr>
          <w:p>
            <w:r>
              <w:t>Custodian or sender</w:t>
            </w:r>
          </w:p>
        </w:tc>
        <w:tc>
          <w:tcPr>
            <w:tcW w:type="dxa" w:w="5083"/>
          </w:tcPr>
          <w:p>
            <w:r>
              <w:t>Producing office</w:t>
            </w:r>
          </w:p>
        </w:tc>
      </w:tr>
      <w:tr>
        <w:tc>
          <w:tcPr>
            <w:tcW w:type="dxa" w:w="5083"/>
          </w:tcPr>
          <w:p>
            <w:r>
              <w:t>Description</w:t>
            </w:r>
          </w:p>
        </w:tc>
        <w:tc>
          <w:tcPr>
            <w:tcW w:type="dxa" w:w="5083"/>
          </w:tcPr>
          <w:p>
            <w:r>
              <w:t>Neutral summary</w:t>
            </w:r>
          </w:p>
        </w:tc>
      </w:tr>
      <w:tr>
        <w:tc>
          <w:tcPr>
            <w:tcW w:type="dxa" w:w="5083"/>
          </w:tcPr>
          <w:p>
            <w:r>
              <w:t>Key propositions supported</w:t>
            </w:r>
          </w:p>
        </w:tc>
        <w:tc>
          <w:tcPr>
            <w:tcW w:type="dxa" w:w="5083"/>
          </w:tcPr>
          <w:p>
            <w:r>
              <w:t>Claims the item may substantiate</w:t>
            </w:r>
          </w:p>
        </w:tc>
      </w:tr>
      <w:tr>
        <w:tc>
          <w:tcPr>
            <w:tcW w:type="dxa" w:w="5083"/>
          </w:tcPr>
          <w:p>
            <w:r>
              <w:t>Attachment references</w:t>
            </w:r>
          </w:p>
        </w:tc>
        <w:tc>
          <w:tcPr>
            <w:tcW w:type="dxa" w:w="5083"/>
          </w:tcPr>
          <w:p>
            <w:r>
              <w:t>A-H sections relying on it</w:t>
            </w:r>
          </w:p>
        </w:tc>
      </w:tr>
      <w:tr>
        <w:tc>
          <w:tcPr>
            <w:tcW w:type="dxa" w:w="5083"/>
          </w:tcPr>
          <w:p>
            <w:r>
              <w:t>Public status</w:t>
            </w:r>
          </w:p>
        </w:tc>
        <w:tc>
          <w:tcPr>
            <w:tcW w:type="dxa" w:w="5083"/>
          </w:tcPr>
          <w:p>
            <w:r>
              <w:t>Public, redacted, evidentiary, restricted</w:t>
            </w:r>
          </w:p>
        </w:tc>
      </w:tr>
      <w:tr>
        <w:tc>
          <w:tcPr>
            <w:tcW w:type="dxa" w:w="5083"/>
          </w:tcPr>
          <w:p>
            <w:r>
              <w:t>Personal or sensitive data</w:t>
            </w:r>
          </w:p>
        </w:tc>
        <w:tc>
          <w:tcPr>
            <w:tcW w:type="dxa" w:w="5083"/>
          </w:tcPr>
          <w:p>
            <w:r>
              <w:t>Plate, location, email, credentials, etc.</w:t>
            </w:r>
          </w:p>
        </w:tc>
      </w:tr>
      <w:tr>
        <w:tc>
          <w:tcPr>
            <w:tcW w:type="dxa" w:w="5083"/>
          </w:tcPr>
          <w:p>
            <w:r>
              <w:t>Redaction status</w:t>
            </w:r>
          </w:p>
        </w:tc>
        <w:tc>
          <w:tcPr>
            <w:tcW w:type="dxa" w:w="5083"/>
          </w:tcPr>
          <w:p>
            <w:r>
              <w:t>None, required, completed</w:t>
            </w:r>
          </w:p>
        </w:tc>
      </w:tr>
      <w:tr>
        <w:tc>
          <w:tcPr>
            <w:tcW w:type="dxa" w:w="5083"/>
          </w:tcPr>
          <w:p>
            <w:r>
              <w:t>Verification status</w:t>
            </w:r>
          </w:p>
        </w:tc>
        <w:tc>
          <w:tcPr>
            <w:tcW w:type="dxa" w:w="5083"/>
          </w:tcPr>
          <w:p>
            <w:r>
              <w:t>Verified, partially verified, unresolved</w:t>
            </w:r>
          </w:p>
        </w:tc>
      </w:tr>
      <w:tr>
        <w:tc>
          <w:tcPr>
            <w:tcW w:type="dxa" w:w="5083"/>
          </w:tcPr>
          <w:p>
            <w:r>
              <w:t>Superseded status</w:t>
            </w:r>
          </w:p>
        </w:tc>
        <w:tc>
          <w:tcPr>
            <w:tcW w:type="dxa" w:w="5083"/>
          </w:tcPr>
          <w:p>
            <w:r>
              <w:t>Current, draft, superseded</w:t>
            </w:r>
          </w:p>
        </w:tc>
      </w:tr>
      <w:tr>
        <w:tc>
          <w:tcPr>
            <w:tcW w:type="dxa" w:w="5083"/>
          </w:tcPr>
          <w:p>
            <w:r>
              <w:t>SHA-256 hash</w:t>
            </w:r>
          </w:p>
        </w:tc>
        <w:tc>
          <w:tcPr>
            <w:tcW w:type="dxa" w:w="5083"/>
          </w:tcPr>
          <w:p>
            <w:r>
              <w:t>File-integrity value</w:t>
            </w:r>
          </w:p>
        </w:tc>
      </w:tr>
      <w:tr>
        <w:tc>
          <w:tcPr>
            <w:tcW w:type="dxa" w:w="5083"/>
          </w:tcPr>
          <w:p>
            <w:r>
              <w:t>Repository path</w:t>
            </w:r>
          </w:p>
        </w:tc>
        <w:tc>
          <w:tcPr>
            <w:tcW w:type="dxa" w:w="5083"/>
          </w:tcPr>
          <w:p>
            <w:r>
              <w:t>Local folder location</w:t>
            </w:r>
          </w:p>
        </w:tc>
      </w:tr>
      <w:tr>
        <w:tc>
          <w:tcPr>
            <w:tcW w:type="dxa" w:w="5083"/>
          </w:tcPr>
          <w:p>
            <w:r>
              <w:t>Public-reference path</w:t>
            </w:r>
          </w:p>
        </w:tc>
        <w:tc>
          <w:tcPr>
            <w:tcW w:type="dxa" w:w="5083"/>
          </w:tcPr>
          <w:p>
            <w:r>
              <w:t>Redacted copy location</w:t>
            </w:r>
          </w:p>
        </w:tc>
      </w:tr>
      <w:tr>
        <w:tc>
          <w:tcPr>
            <w:tcW w:type="dxa" w:w="5083"/>
          </w:tcPr>
          <w:p>
            <w:r>
              <w:t>Notes and limitations</w:t>
            </w:r>
          </w:p>
        </w:tc>
        <w:tc>
          <w:tcPr>
            <w:tcW w:type="dxa" w:w="5083"/>
          </w:tcPr>
          <w:p>
            <w:r>
              <w:t>Important cautions</w:t>
            </w:r>
          </w:p>
        </w:tc>
      </w:tr>
      <w:tr>
        <w:tc>
          <w:tcPr>
            <w:tcW w:type="dxa" w:w="5083"/>
          </w:tcPr>
          <w:p>
            <w:r>
              <w:t>Last reviewed</w:t>
            </w:r>
          </w:p>
        </w:tc>
        <w:tc>
          <w:tcPr>
            <w:tcW w:type="dxa" w:w="5083"/>
          </w:tcPr>
          <w:p>
            <w:r>
              <w:t>Most recent validation date</w:t>
            </w:r>
          </w:p>
        </w:tc>
      </w:tr>
      <w:tr>
        <w:tc>
          <w:tcPr>
            <w:tcW w:type="dxa" w:w="5083"/>
          </w:tcPr>
          <w:p>
            <w:r>
              <w:t>Reviewer</w:t>
            </w:r>
          </w:p>
        </w:tc>
        <w:tc>
          <w:tcPr>
            <w:tcW w:type="dxa" w:w="5083"/>
          </w:tcPr>
          <w:p>
            <w:r>
              <w:t>Person conducting validation</w:t>
            </w:r>
          </w:p>
        </w:tc>
      </w:tr>
    </w:tbl>
    <w:p>
      <w:pPr>
        <w:pStyle w:val="Heading1"/>
      </w:pPr>
      <w:r>
        <w:t>XI. File-Naming Standard</w:t>
      </w:r>
    </w:p>
    <w:p>
      <w:pPr>
        <w:spacing w:after="80"/>
      </w:pPr>
      <w:r>
        <w:rPr>
          <w:i w:val="0"/>
        </w:rPr>
        <w:t>Recommended pattern:</w:t>
      </w:r>
    </w:p>
    <w:p>
      <w:pPr>
        <w:jc w:val="center"/>
      </w:pPr>
      <w:r>
        <w:rPr>
          <w:b/>
        </w:rPr>
        <w:t>ARAP-[JURISDICTION]-[CATEGORY]-[YYYYMMDD]-[SHORT-DESCRIPTION]-[EVIDENCE-ID].[EXT]</w:t>
      </w:r>
    </w:p>
    <w:p>
      <w:pPr>
        <w:pStyle w:val="Heading2"/>
      </w:pPr>
      <w:r>
        <w:t>Examples</w:t>
      </w:r>
    </w:p>
    <w:p>
      <w:pPr>
        <w:pStyle w:val="ListBullet"/>
        <w:spacing w:after="30"/>
      </w:pPr>
      <w:r>
        <w:t>ARAP-SHERWOOD-FOIA-20260630-CITY-2026-112-H010.pdf</w:t>
      </w:r>
    </w:p>
    <w:p>
      <w:pPr>
        <w:pStyle w:val="ListBullet"/>
        <w:spacing w:after="30"/>
      </w:pPr>
      <w:r>
        <w:t>ARAP-SHERWOOD-ALPR-20260601-20260628-SEARCH-RESULTS-H012.csv</w:t>
      </w:r>
    </w:p>
    <w:p>
      <w:pPr>
        <w:pStyle w:val="ListBullet"/>
        <w:spacing w:after="30"/>
      </w:pPr>
      <w:r>
        <w:t>ARAP-CABOT-REPORT-2025H1-PRACTICE-USAGE-H031.pdf</w:t>
      </w:r>
    </w:p>
    <w:p>
      <w:pPr>
        <w:pStyle w:val="ListBullet"/>
        <w:spacing w:after="30"/>
      </w:pPr>
      <w:r>
        <w:t>ARAP-JACKSONVILLE-POLICY-ALPR-H040.pdf</w:t>
      </w:r>
    </w:p>
    <w:p>
      <w:pPr>
        <w:pStyle w:val="Heading2"/>
      </w:pPr>
      <w:r>
        <w:t>Rules</w:t>
      </w:r>
    </w:p>
    <w:p>
      <w:pPr>
        <w:pStyle w:val="ListBullet"/>
        <w:spacing w:after="30"/>
      </w:pPr>
      <w:r>
        <w:t>Preserve the original filename in the workbook;</w:t>
      </w:r>
    </w:p>
    <w:p>
      <w:pPr>
        <w:pStyle w:val="ListBullet"/>
        <w:spacing w:after="30"/>
      </w:pPr>
      <w:r>
        <w:t>Do not overwrite original source files;</w:t>
      </w:r>
    </w:p>
    <w:p>
      <w:pPr>
        <w:pStyle w:val="ListBullet"/>
        <w:spacing w:after="30"/>
      </w:pPr>
      <w:r>
        <w:t>Use a separate standardized working copy;</w:t>
      </w:r>
    </w:p>
    <w:p>
      <w:pPr>
        <w:pStyle w:val="ListBullet"/>
        <w:spacing w:after="30"/>
      </w:pPr>
      <w:r>
        <w:t>Include dates in YYYYMMDD format;</w:t>
      </w:r>
    </w:p>
    <w:p>
      <w:pPr>
        <w:pStyle w:val="ListBullet"/>
        <w:spacing w:after="30"/>
      </w:pPr>
      <w:r>
        <w:t>Avoid spaces in repository filenames;</w:t>
      </w:r>
    </w:p>
    <w:p>
      <w:pPr>
        <w:pStyle w:val="ListBullet"/>
        <w:spacing w:after="30"/>
      </w:pPr>
      <w:r>
        <w:t>Identify redacted copies with _PUBLIC-REDACTED;</w:t>
      </w:r>
    </w:p>
    <w:p>
      <w:pPr>
        <w:pStyle w:val="ListBullet"/>
        <w:spacing w:after="30"/>
      </w:pPr>
      <w:r>
        <w:t>Identify evidentiary copies with _EVIDENTIARY;</w:t>
      </w:r>
    </w:p>
    <w:p>
      <w:pPr>
        <w:pStyle w:val="ListBullet"/>
        <w:spacing w:after="30"/>
      </w:pPr>
      <w:r>
        <w:t>Identify drafts with _DRAFT; and</w:t>
      </w:r>
    </w:p>
    <w:p>
      <w:pPr>
        <w:pStyle w:val="ListBullet"/>
        <w:spacing w:after="30"/>
      </w:pPr>
      <w:r>
        <w:t>Identify superseded files in the workbook rather than deleting them.</w:t>
      </w:r>
    </w:p>
    <w:p>
      <w:pPr>
        <w:pStyle w:val="Heading1"/>
      </w:pPr>
      <w:r>
        <w:t>XII. Integrity and Preservation Procedures</w:t>
      </w:r>
    </w:p>
    <w:p>
      <w:pPr>
        <w:pStyle w:val="ListNumber"/>
        <w:spacing w:after="30"/>
      </w:pPr>
      <w:r>
        <w:t>Preserve the original file unchanged;</w:t>
      </w:r>
    </w:p>
    <w:p>
      <w:pPr>
        <w:pStyle w:val="ListNumber"/>
        <w:spacing w:after="30"/>
      </w:pPr>
      <w:r>
        <w:t>Create a working copy;</w:t>
      </w:r>
    </w:p>
    <w:p>
      <w:pPr>
        <w:pStyle w:val="ListNumber"/>
        <w:spacing w:after="30"/>
      </w:pPr>
      <w:r>
        <w:t>Calculate a SHA-256 hash;</w:t>
      </w:r>
    </w:p>
    <w:p>
      <w:pPr>
        <w:pStyle w:val="ListNumber"/>
        <w:spacing w:after="30"/>
      </w:pPr>
      <w:r>
        <w:t>Record the download or receipt date;</w:t>
      </w:r>
    </w:p>
    <w:p>
      <w:pPr>
        <w:pStyle w:val="ListNumber"/>
        <w:spacing w:after="30"/>
      </w:pPr>
      <w:r>
        <w:t>Preserve the producing email or portal page;</w:t>
      </w:r>
    </w:p>
    <w:p>
      <w:pPr>
        <w:pStyle w:val="ListNumber"/>
        <w:spacing w:after="30"/>
      </w:pPr>
      <w:r>
        <w:t>Save a PDF or screenshot of online records;</w:t>
      </w:r>
    </w:p>
    <w:p>
      <w:pPr>
        <w:pStyle w:val="ListNumber"/>
        <w:spacing w:after="30"/>
      </w:pPr>
      <w:r>
        <w:t>Record the public URL or portal reference where applicable;</w:t>
      </w:r>
    </w:p>
    <w:p>
      <w:pPr>
        <w:pStyle w:val="ListNumber"/>
        <w:spacing w:after="30"/>
      </w:pPr>
      <w:r>
        <w:t>Maintain a chain-of-custody or handling log for important evidence;</w:t>
      </w:r>
    </w:p>
    <w:p>
      <w:pPr>
        <w:pStyle w:val="ListNumber"/>
        <w:spacing w:after="30"/>
      </w:pPr>
      <w:r>
        <w:t>Keep redacted public copies separate from originals;</w:t>
      </w:r>
    </w:p>
    <w:p>
      <w:pPr>
        <w:pStyle w:val="ListNumber"/>
        <w:spacing w:after="30"/>
      </w:pPr>
      <w:r>
        <w:t>Back up the repository in at least two locations;</w:t>
      </w:r>
    </w:p>
    <w:p>
      <w:pPr>
        <w:pStyle w:val="ListNumber"/>
        <w:spacing w:after="30"/>
      </w:pPr>
      <w:r>
        <w:t>Maintain a revision history; and</w:t>
      </w:r>
    </w:p>
    <w:p>
      <w:pPr>
        <w:pStyle w:val="ListNumber"/>
        <w:spacing w:after="30"/>
      </w:pPr>
      <w:r>
        <w:t>Never replace a source file with an edited or annotated copy.</w:t>
      </w:r>
    </w:p>
    <w:p>
      <w:pPr>
        <w:pStyle w:val="Heading1"/>
      </w:pPr>
      <w:r>
        <w:t>XIII. Citation Standard for the Legislative Packet</w:t>
      </w:r>
    </w:p>
    <w:p>
      <w:pPr>
        <w:pStyle w:val="Heading2"/>
      </w:pPr>
      <w:r>
        <w:t>Document citation</w:t>
      </w:r>
    </w:p>
    <w:p>
      <w:pPr>
        <w:spacing w:after="80"/>
      </w:pPr>
      <w:r>
        <w:rPr>
          <w:i/>
        </w:rPr>
        <w:t>Sherwood Police Department, Request CITY-2026-112, request details and responsive-file listing, submitted June 30, 2026, completed July 2026, ARAP Evidence H-010 to H-011.</w:t>
      </w:r>
    </w:p>
    <w:p>
      <w:pPr>
        <w:pStyle w:val="Heading2"/>
      </w:pPr>
      <w:r>
        <w:t>Spreadsheet citation</w:t>
      </w:r>
    </w:p>
    <w:p>
      <w:pPr>
        <w:spacing w:after="80"/>
      </w:pPr>
      <w:r>
        <w:rPr>
          <w:i/>
        </w:rPr>
        <w:t>Flock Safety Search Results CSV produced by the Sherwood Police Department in response to CITY-2026-112, 80 data rows, ARAP Evidence H-012.</w:t>
      </w:r>
    </w:p>
    <w:p>
      <w:pPr>
        <w:pStyle w:val="Heading2"/>
      </w:pPr>
      <w:r>
        <w:t>Image citation</w:t>
      </w:r>
    </w:p>
    <w:p>
      <w:pPr>
        <w:spacing w:after="80"/>
      </w:pPr>
      <w:r>
        <w:rPr>
          <w:i/>
        </w:rPr>
        <w:t>Sherwood Police Department/Flock Safety responsive image, [camera name], [capture date and time], ARAP Evidence H-014-[subitem].</w:t>
      </w:r>
    </w:p>
    <w:p>
      <w:pPr>
        <w:pStyle w:val="Heading2"/>
      </w:pPr>
      <w:r>
        <w:t>Correspondence citation</w:t>
      </w:r>
    </w:p>
    <w:p>
      <w:pPr>
        <w:spacing w:after="80"/>
      </w:pPr>
      <w:r>
        <w:rPr>
          <w:i/>
        </w:rPr>
        <w:t>Request for Clarification and Preservation of Records concerning CITY-2026-112, July 14, 2026, ARAP Evidence H-017.</w:t>
      </w:r>
    </w:p>
    <w:p>
      <w:pPr>
        <w:pStyle w:val="Heading2"/>
      </w:pPr>
      <w:r>
        <w:t>Agency policy citation</w:t>
      </w:r>
    </w:p>
    <w:p>
      <w:pPr>
        <w:spacing w:after="80"/>
      </w:pPr>
      <w:r>
        <w:rPr>
          <w:i/>
        </w:rPr>
        <w:t>[Agency], [policy number and title], effective [date], ARAP Evidence [ID], at [page or section].</w:t>
      </w:r>
    </w:p>
    <w:p>
      <w:pPr>
        <w:pStyle w:val="Heading2"/>
      </w:pPr>
      <w:r>
        <w:t>Analytical-work-product citation</w:t>
      </w:r>
    </w:p>
    <w:p>
      <w:pPr>
        <w:spacing w:after="80"/>
      </w:pPr>
      <w:r>
        <w:rPr>
          <w:i/>
        </w:rPr>
        <w:t>ARAP Attachment [letter], [section], derived from ARAP Evidence [IDs].</w:t>
      </w:r>
    </w:p>
    <w:p>
      <w:pPr>
        <w:pStyle w:val="Heading1"/>
      </w:pPr>
      <w:r>
        <w:t>XIV. Evidentiary and Editorial Limitations</w:t>
      </w:r>
    </w:p>
    <w:p>
      <w:pPr>
        <w:pStyle w:val="ListNumber"/>
        <w:spacing w:after="30"/>
      </w:pPr>
      <w:r>
        <w:t>A record's inclusion in the index does not mean ARAP endorses every statement contained in it.</w:t>
      </w:r>
    </w:p>
    <w:p>
      <w:pPr>
        <w:pStyle w:val="ListNumber"/>
        <w:spacing w:after="30"/>
      </w:pPr>
      <w:r>
        <w:t>Agency-created records may contain errors, omissions, or inconsistent terminology.</w:t>
      </w:r>
    </w:p>
    <w:p>
      <w:pPr>
        <w:pStyle w:val="ListNumber"/>
        <w:spacing w:after="30"/>
      </w:pPr>
      <w:r>
        <w:t>Vendor-generated records may contain automated classifications that require verification.</w:t>
      </w:r>
    </w:p>
    <w:p>
      <w:pPr>
        <w:pStyle w:val="ListNumber"/>
        <w:spacing w:after="30"/>
      </w:pPr>
      <w:r>
        <w:t>A portal listing does not necessarily describe the internal legal review preceding release.</w:t>
      </w:r>
    </w:p>
    <w:p>
      <w:pPr>
        <w:pStyle w:val="ListNumber"/>
        <w:spacing w:after="30"/>
      </w:pPr>
      <w:r>
        <w:t>Network membership does not establish actual access by every member.</w:t>
      </w:r>
    </w:p>
    <w:p>
      <w:pPr>
        <w:pStyle w:val="ListNumber"/>
        <w:spacing w:after="30"/>
      </w:pPr>
      <w:r>
        <w:t>A search-reason entry does not independently prove whether the stated reason was accurate.</w:t>
      </w:r>
    </w:p>
    <w:p>
      <w:pPr>
        <w:pStyle w:val="ListNumber"/>
        <w:spacing w:after="30"/>
      </w:pPr>
      <w:r>
        <w:t>An unavailable record does not prove that the activity did not occur.</w:t>
      </w:r>
    </w:p>
    <w:p>
      <w:pPr>
        <w:pStyle w:val="ListNumber"/>
        <w:spacing w:after="30"/>
      </w:pPr>
      <w:r>
        <w:t>Silence or lack of response does not prove intent, bad faith, or illegality.</w:t>
      </w:r>
    </w:p>
    <w:p>
      <w:pPr>
        <w:pStyle w:val="ListNumber"/>
        <w:spacing w:after="30"/>
      </w:pPr>
      <w:r>
        <w:t>Draft correspondence should not be confused with the authenticated sent version.</w:t>
      </w:r>
    </w:p>
    <w:p>
      <w:pPr>
        <w:pStyle w:val="ListNumber"/>
        <w:spacing w:after="30"/>
      </w:pPr>
      <w:r>
        <w:t>Public copies should not unnecessarily reproduce identifiable vehicle-location information.</w:t>
      </w:r>
    </w:p>
    <w:p>
      <w:pPr>
        <w:pStyle w:val="ListNumber"/>
        <w:spacing w:after="30"/>
      </w:pPr>
      <w:r>
        <w:t>Numerical comparisons should account for different reporting periods and definitions.</w:t>
      </w:r>
    </w:p>
    <w:p>
      <w:pPr>
        <w:pStyle w:val="ListNumber"/>
        <w:spacing w:after="30"/>
      </w:pPr>
      <w:r>
        <w:t>Legal interpretations are presented for legislative and professional review rather than declared conclusively by ARAP.</w:t>
      </w:r>
    </w:p>
    <w:p>
      <w:pPr>
        <w:pStyle w:val="Heading1"/>
      </w:pPr>
      <w:r>
        <w:t>XV. Publication Checklist</w:t>
      </w:r>
    </w:p>
    <w:p>
      <w:pPr>
        <w:pStyle w:val="ListBullet"/>
        <w:spacing w:after="30"/>
      </w:pPr>
      <w:r>
        <w:t>Confirm every cited file is present in the repository;</w:t>
      </w:r>
    </w:p>
    <w:p>
      <w:pPr>
        <w:pStyle w:val="ListBullet"/>
        <w:spacing w:after="30"/>
      </w:pPr>
      <w:r>
        <w:t>Verify all exhibit IDs;</w:t>
      </w:r>
    </w:p>
    <w:p>
      <w:pPr>
        <w:pStyle w:val="ListBullet"/>
        <w:spacing w:after="30"/>
      </w:pPr>
      <w:r>
        <w:t>Resolve duplicate or inconsistent filenames;</w:t>
      </w:r>
    </w:p>
    <w:p>
      <w:pPr>
        <w:pStyle w:val="ListBullet"/>
        <w:spacing w:after="30"/>
      </w:pPr>
      <w:r>
        <w:t>Identify the authenticated version of each letter;</w:t>
      </w:r>
    </w:p>
    <w:p>
      <w:pPr>
        <w:pStyle w:val="ListBullet"/>
        <w:spacing w:after="30"/>
      </w:pPr>
      <w:r>
        <w:t>Insert an as-of date for unresolved response status;</w:t>
      </w:r>
    </w:p>
    <w:p>
      <w:pPr>
        <w:pStyle w:val="ListBullet"/>
        <w:spacing w:after="30"/>
      </w:pPr>
      <w:r>
        <w:t>Confirm Cabot reporting-period totals;</w:t>
      </w:r>
    </w:p>
    <w:p>
      <w:pPr>
        <w:pStyle w:val="ListBullet"/>
        <w:spacing w:after="30"/>
      </w:pPr>
      <w:r>
        <w:t>Confirm Jacksonville network figures and source wording;</w:t>
      </w:r>
    </w:p>
    <w:p>
      <w:pPr>
        <w:pStyle w:val="ListBullet"/>
        <w:spacing w:after="30"/>
      </w:pPr>
      <w:r>
        <w:t>Confirm Pulaski County policy dates and citations;</w:t>
      </w:r>
    </w:p>
    <w:p>
      <w:pPr>
        <w:pStyle w:val="ListBullet"/>
        <w:spacing w:after="30"/>
      </w:pPr>
      <w:r>
        <w:t>Confirm Sherwood audit scope and traffic-related findings;</w:t>
      </w:r>
    </w:p>
    <w:p>
      <w:pPr>
        <w:pStyle w:val="ListBullet"/>
        <w:spacing w:after="30"/>
      </w:pPr>
      <w:r>
        <w:t>Redact public copies where required;</w:t>
      </w:r>
    </w:p>
    <w:p>
      <w:pPr>
        <w:pStyle w:val="ListBullet"/>
        <w:spacing w:after="30"/>
      </w:pPr>
      <w:r>
        <w:t>Calculate or verify SHA-256 hashes;</w:t>
      </w:r>
    </w:p>
    <w:p>
      <w:pPr>
        <w:pStyle w:val="ListBullet"/>
        <w:spacing w:after="30"/>
      </w:pPr>
      <w:r>
        <w:t>Update the evidence-management workbook;</w:t>
      </w:r>
    </w:p>
    <w:p>
      <w:pPr>
        <w:pStyle w:val="ListBullet"/>
        <w:spacing w:after="30"/>
      </w:pPr>
      <w:r>
        <w:t>Test every document link or QR code;</w:t>
      </w:r>
    </w:p>
    <w:p>
      <w:pPr>
        <w:pStyle w:val="ListBullet"/>
        <w:spacing w:after="30"/>
      </w:pPr>
      <w:r>
        <w:t>Produce a final PDF packet;</w:t>
      </w:r>
    </w:p>
    <w:p>
      <w:pPr>
        <w:pStyle w:val="ListBullet"/>
        <w:spacing w:after="30"/>
      </w:pPr>
      <w:r>
        <w:t>Preserve the final release package; and</w:t>
      </w:r>
    </w:p>
    <w:p>
      <w:pPr>
        <w:pStyle w:val="ListBullet"/>
        <w:spacing w:after="30"/>
      </w:pPr>
      <w:r>
        <w:t>Record the packet version and publication date.</w:t>
      </w:r>
    </w:p>
    <w:p>
      <w:pPr>
        <w:pStyle w:val="Heading1"/>
      </w:pPr>
      <w:r>
        <w:t>Preliminary Conclusion</w:t>
      </w:r>
    </w:p>
    <w:p>
      <w:pPr>
        <w:spacing w:after="80"/>
      </w:pPr>
      <w:r>
        <w:rPr>
          <w:i w:val="0"/>
        </w:rPr>
        <w:t>The Source and Evidence Index is intended to make the legislative packet independently reviewable.</w:t>
      </w:r>
    </w:p>
    <w:p>
      <w:pPr>
        <w:spacing w:after="80"/>
      </w:pPr>
      <w:r>
        <w:rPr>
          <w:i w:val="0"/>
        </w:rPr>
        <w:t>It connects statutory questions and policy recommendations to identifiable records while preserving the distinction between what the records directly establish, what may reasonably be inferred, what remains unresolved, what an agency may later clarify, and what the General Assembly must ultimately decide as a matter of law and public policy.</w:t>
      </w:r>
    </w:p>
    <w:p>
      <w:r>
        <w:rPr>
          <w:b/>
        </w:rPr>
        <w:t xml:space="preserve">Editorial standard: </w:t>
      </w:r>
      <w:r>
        <w:t>No conclusion without a citation. Records are described neutrally, limitations are disclosed, and public distribution should not unnecessarily reproduce sensitive or identifiable vehicle-location information.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Attachment H | Source and Evidence Index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ARKANSAS ACCOUNTABILITY PROJECT - ARAP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