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érie-3"/>
    <w:p>
      <w:pPr>
        <w:pStyle w:val="Heading1"/>
      </w:pPr>
      <w:r>
        <w:t xml:space="preserve">Série 3</w:t>
      </w:r>
    </w:p>
    <w:bookmarkStart w:id="24" w:name="méthodes"/>
    <w:p>
      <w:pPr>
        <w:pStyle w:val="Heading2"/>
      </w:pPr>
      <w:r>
        <w:t xml:space="preserve">Méthodes</w:t>
      </w:r>
    </w:p>
    <w:bookmarkStart w:id="20" w:name="calcul-de-la-plus-faible-précondition-wp"/>
    <w:p>
      <w:pPr>
        <w:pStyle w:val="Heading3"/>
      </w:pPr>
      <w:r>
        <w:t xml:space="preserve">Calcul de la plus faible précondition (WP)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Méthode 1 : WP pour l’affectation</w:t>
      </w:r>
      <w:r>
        <w:br/>
      </w:r>
      <w:r>
        <w:t xml:space="preserve">Pour une affectation</w:t>
      </w:r>
      <w:r>
        <w:t xml:space="preserve"> </w:t>
      </w:r>
      <w:r>
        <w:rPr>
          <w:rStyle w:val="VerbatimChar"/>
        </w:rPr>
        <w:t xml:space="preserve">x := e</w:t>
      </w:r>
      <w:r>
        <w:t xml:space="preserve">, on substitue la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par l’expression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dans la postcondition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e</m:t>
              </m:r>
              <m:r>
                <m:rPr>
                  <m:sty m:val="p"/>
                </m:rPr>
                <m:t>,</m:t>
              </m:r>
              <m:r>
                <m:t>ψ</m:t>
              </m:r>
            </m:e>
          </m:d>
          <m:r>
            <m:rPr>
              <m:sty m:val="p"/>
            </m:rPr>
            <m:t>=</m:t>
          </m:r>
          <m:r>
            <m:t>ψ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←</m:t>
              </m:r>
              <m:r>
                <m:t>e</m:t>
              </m:r>
            </m:e>
          </m:d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Méthode 2 : WP pour la conditionnelle</w:t>
      </w:r>
      <w:r>
        <w:br/>
      </w:r>
      <w:r>
        <w:t xml:space="preserve">Pour une instruction</w:t>
      </w:r>
      <w:r>
        <w:t xml:space="preserve"> </w:t>
      </w:r>
      <w:r>
        <w:rPr>
          <w:rStyle w:val="VerbatimChar"/>
        </w:rPr>
        <w:t xml:space="preserve">if B then c_1 else c_2</w:t>
      </w:r>
      <w:r>
        <w:t xml:space="preserve">, on combine les WP des deux branches, conditionnées par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¬B</w:t>
      </w:r>
      <w:r>
        <w:t xml:space="preserve"> </w:t>
      </w:r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if </m:t>
              </m:r>
              <m:r>
                <m:t>B</m:t>
              </m:r>
              <m:r>
                <m:rPr>
                  <m:nor/>
                  <m:sty m:val="p"/>
                </m:rPr>
                <m:t> then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else 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ψ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ψ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ψ</m:t>
                  </m:r>
                </m:e>
              </m:d>
            </m:e>
          </m:d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Méthode 3 : Prise en compte des conditions de sûreté</w:t>
      </w:r>
      <w:r>
        <w:br/>
      </w:r>
      <w:r>
        <w:t xml:space="preserve">Lorsque le programme contient une opération partielle (ex. division), il faut ajouter explicitement les conditions de validité (ex. dénominateur non nul) dans la WP.</w:t>
      </w:r>
    </w:p>
    <w:bookmarkEnd w:id="20"/>
    <w:bookmarkStart w:id="21" w:name="vérification-des-triples-de-hoare"/>
    <w:p>
      <w:pPr>
        <w:pStyle w:val="Heading3"/>
      </w:pPr>
      <w:r>
        <w:t xml:space="preserve">Vérification des triples de Hoare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Méthode 4 : Validité via l’implication logique</w:t>
      </w:r>
      <w:r>
        <w:br/>
      </w:r>
      <w:r>
        <w:t xml:space="preserve">Un triple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  <m:r>
          <m:t> </m:t>
        </m:r>
        <m:r>
          <m:t>c</m:t>
        </m:r>
        <m:r>
          <m:t> 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}</m:t>
        </m:r>
      </m:oMath>
      <w:r>
        <w:t xml:space="preserve"> </w:t>
      </w:r>
      <w:r>
        <w:t xml:space="preserve">est valide si et seulement si la précondition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implique la WP du programme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pour la postcondition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}</m:t>
          </m:r>
          <m:r>
            <m:t> </m:t>
          </m:r>
          <m:r>
            <m:t>c</m:t>
          </m:r>
          <m:r>
            <m:t> </m:t>
          </m:r>
          <m:r>
            <m:rPr>
              <m:sty m:val="p"/>
            </m:rPr>
            <m:t>{</m:t>
          </m:r>
          <m:r>
            <m:t>Q</m:t>
          </m:r>
          <m:r>
            <m:rPr>
              <m:sty m:val="p"/>
            </m:rPr>
            <m:t>}</m:t>
          </m:r>
          <m:r>
            <m:rPr>
              <m:nor/>
              <m:sty m:val="p"/>
            </m:rPr>
            <m:t> est valide </m:t>
          </m:r>
          <m:r>
            <m:t> </m:t>
          </m:r>
          <m:r>
            <m:rPr>
              <m:nor/>
              <m:sty m:val="p"/>
            </m:rPr>
            <m:t>ssi</m:t>
          </m:r>
          <m:r>
            <m:t> </m:t>
          </m:r>
          <m:r>
            <m:t>P</m:t>
          </m:r>
          <m:r>
            <m:rPr>
              <m:sty m:val="p"/>
            </m:rPr>
            <m:t>⇒</m:t>
          </m:r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 </m:t>
          </m:r>
          <m:r>
            <m:rPr>
              <m:nor/>
              <m:sty m:val="p"/>
            </m:rPr>
            <m:t>est vrai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On doit aussi vérifier toutes les conditions de sûreté (ex. non-division par zéro).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Méthode 5 : Raffinement par précondition additionnelle</w:t>
      </w:r>
      <w:r>
        <w:br/>
      </w:r>
      <w:r>
        <w:t xml:space="preserve">Si la WP calculée n’est pas automatiquement vérifiée, on peut proposer une précondition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plus forte qui rende l’implication valide.</w:t>
      </w:r>
    </w:p>
    <w:bookmarkEnd w:id="21"/>
    <w:bookmarkStart w:id="22" w:name="preuves-structurelles-sur-les-wp"/>
    <w:p>
      <w:pPr>
        <w:pStyle w:val="Heading3"/>
      </w:pPr>
      <w:r>
        <w:t xml:space="preserve">Preuves structurelles sur les WP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Méthode 6 : Induction structurelle sur les programmes</w:t>
      </w:r>
    </w:p>
    <w:p>
      <w:pPr>
        <w:numPr>
          <w:ilvl w:val="0"/>
          <w:numId w:val="1000"/>
        </w:numPr>
      </w:pPr>
      <w:r>
        <w:t xml:space="preserve">Pour démontrer une propriété sur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</m:oMath>
      <w:r>
        <w:t xml:space="preserve"> </w:t>
      </w:r>
      <w:r>
        <w:t xml:space="preserve">pour tout programme, on procède par induction sur la structure du programme 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Cas de base</w:t>
      </w:r>
      <w:r>
        <w:t xml:space="preserve"> </w:t>
      </w:r>
      <w:r>
        <w:t xml:space="preserve">: instructions élémentaires (affectation).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Étapes d’induction</w:t>
      </w:r>
      <w:r>
        <w:t xml:space="preserve"> </w:t>
      </w:r>
      <w:r>
        <w:t xml:space="preserve">: composition séquentielle, conditionnelle, boucle.</w:t>
      </w:r>
    </w:p>
    <w:bookmarkEnd w:id="22"/>
    <w:bookmarkStart w:id="23" w:name="manipulations-logiques"/>
    <w:p>
      <w:pPr>
        <w:pStyle w:val="Heading3"/>
      </w:pPr>
      <w:r>
        <w:t xml:space="preserve">Manipulations logiques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Méthode 7 : Transformations logiques courantes</w:t>
      </w:r>
    </w:p>
    <w:p>
      <w:pPr>
        <w:pStyle w:val="Compact"/>
        <w:numPr>
          <w:ilvl w:val="1"/>
          <w:numId w:val="1006"/>
        </w:numPr>
      </w:pPr>
      <w:r>
        <w:t xml:space="preserve">Élimination de l’implication 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br/>
      </w:r>
    </w:p>
    <w:p>
      <w:pPr>
        <w:pStyle w:val="Compact"/>
        <w:numPr>
          <w:ilvl w:val="1"/>
          <w:numId w:val="1006"/>
        </w:numPr>
      </w:pPr>
      <w:r>
        <w:t xml:space="preserve">Lois de De Morgan 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B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B</m:t>
        </m:r>
      </m:oMath>
      <w:r>
        <w:br/>
      </w:r>
    </w:p>
    <w:p>
      <w:pPr>
        <w:pStyle w:val="Compact"/>
        <w:numPr>
          <w:ilvl w:val="1"/>
          <w:numId w:val="1006"/>
        </w:numPr>
      </w:pPr>
      <w:r>
        <w:t xml:space="preserve">Distributivité :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∨</m:t>
            </m:r>
            <m:r>
              <m:t>C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C</m:t>
            </m:r>
          </m:e>
        </m:d>
      </m:oMath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appel"/>
    <w:p>
      <w:pPr>
        <w:pStyle w:val="Heading2"/>
      </w:pPr>
      <w:r>
        <w:t xml:space="preserve">Rappel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Règles WP</w:t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ψ</m:t>
            </m:r>
          </m:e>
        </m:d>
        <m:r>
          <m:rPr>
            <m:sty m:val="p"/>
          </m:rPr>
          <m:t>=</m:t>
        </m:r>
        <m:r>
          <m:t>ψ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  <w:r>
        <w:br/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if </m:t>
            </m:r>
            <m:r>
              <m:t>B</m:t>
            </m:r>
            <m:r>
              <m:rPr>
                <m:nor/>
                <m:sty m:val="p"/>
              </m:rPr>
              <m:t> then 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nor/>
                <m:sty m:val="p"/>
              </m:rPr>
              <m:t> else 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ψ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ψ</m:t>
                </m:r>
              </m:e>
            </m:d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B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ψ</m:t>
                </m:r>
              </m:e>
            </m:d>
          </m:e>
        </m:d>
      </m:oMath>
    </w:p>
    <w:p>
      <w:pPr>
        <w:numPr>
          <w:ilvl w:val="0"/>
          <w:numId w:val="1007"/>
        </w:numPr>
      </w:pPr>
      <w:r>
        <w:rPr>
          <w:b/>
          <w:bCs/>
        </w:rPr>
        <w:t xml:space="preserve">Validité d’un triple de Hoare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}</m:t>
          </m:r>
          <m:r>
            <m:t> </m:t>
          </m:r>
          <m:r>
            <m:t>c</m:t>
          </m:r>
          <m:r>
            <m:t> </m:t>
          </m:r>
          <m:r>
            <m:rPr>
              <m:sty m:val="p"/>
            </m:rPr>
            <m:t>{</m:t>
          </m:r>
          <m:r>
            <m:t>Q</m:t>
          </m:r>
          <m:r>
            <m:rPr>
              <m:sty m:val="p"/>
            </m:rPr>
            <m:t>}</m:t>
          </m:r>
          <m:r>
            <m:rPr>
              <m:nor/>
              <m:sty m:val="p"/>
            </m:rPr>
            <m:t> valide </m:t>
          </m:r>
          <m:r>
            <m:rPr>
              <m:sty m:val="p"/>
            </m:rPr>
            <m:t>⇔</m:t>
          </m:r>
          <m:r>
            <m:t>P</m:t>
          </m:r>
          <m:r>
            <m:rPr>
              <m:sty m:val="p"/>
            </m:rPr>
            <m:t>⇒</m:t>
          </m:r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Conditions de sûreté</w:t>
      </w:r>
      <w:r>
        <w:br/>
      </w:r>
      <w:r>
        <w:t xml:space="preserve">Pour toute division</w:t>
      </w:r>
      <w:r>
        <w:t xml:space="preserve"> </w:t>
      </w:r>
      <w:r>
        <w:rPr>
          <w:rStyle w:val="VerbatimChar"/>
        </w:rPr>
        <w:t xml:space="preserve">a/b</w:t>
      </w:r>
      <w:r>
        <w:t xml:space="preserve">, ajouter la condition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à la WP.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Lois logiques utiles</w:t>
      </w:r>
    </w:p>
    <w:p>
      <w:pPr>
        <w:pStyle w:val="Compact"/>
        <w:numPr>
          <w:ilvl w:val="1"/>
          <w:numId w:val="1009"/>
        </w:numPr>
      </w:pPr>
      <w:r>
        <w:t xml:space="preserve">Implication 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br/>
      </w:r>
    </w:p>
    <w:p>
      <w:pPr>
        <w:pStyle w:val="Compact"/>
        <w:numPr>
          <w:ilvl w:val="1"/>
          <w:numId w:val="1009"/>
        </w:numPr>
      </w:pPr>
      <w:r>
        <w:t xml:space="preserve">Distributivité de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 </w:t>
      </w:r>
      <w:r>
        <w:t xml:space="preserve">et vice versa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Équivalence 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∧</m:t>
                </m:r>
                <m:r>
                  <m:t>C</m:t>
                </m:r>
              </m:e>
            </m:d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t>C</m:t>
            </m:r>
          </m:e>
        </m:d>
      </m:oMath>
    </w:p>
    <w:p>
      <w:pPr>
        <w:numPr>
          <w:ilvl w:val="0"/>
          <w:numId w:val="1007"/>
        </w:numPr>
      </w:pPr>
      <w:r>
        <w:rPr>
          <w:b/>
          <w:bCs/>
        </w:rPr>
        <w:t xml:space="preserve">Induction structurelle</w:t>
      </w:r>
    </w:p>
    <w:p>
      <w:pPr>
        <w:pStyle w:val="Compact"/>
        <w:numPr>
          <w:ilvl w:val="1"/>
          <w:numId w:val="1010"/>
        </w:numPr>
      </w:pPr>
      <w:r>
        <w:t xml:space="preserve">Base : vérifier la propriété pour les instructions simples.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Induction : supposer la propriété pour les sous-programmes, la prouver pour les compositions.</w:t>
      </w:r>
    </w:p>
    <w:p>
      <w:r>
        <w:pict>
          <v:rect style="width:0;height:1.5pt" o:hralign="center" o:hrstd="t" o:hr="t"/>
        </w:pict>
      </w:r>
    </w:p>
    <w:bookmarkEnd w:id="25"/>
    <w:bookmarkStart w:id="30" w:name="exemples-illustratifs"/>
    <w:p>
      <w:pPr>
        <w:pStyle w:val="Heading2"/>
      </w:pPr>
      <w:r>
        <w:t xml:space="preserve">Exemples Illustratifs</w:t>
      </w:r>
    </w:p>
    <w:bookmarkStart w:id="26" w:name="Xeaf406523f501a06ceeb41d4882409e23332348"/>
    <w:p>
      <w:pPr>
        <w:pStyle w:val="Heading3"/>
      </w:pPr>
      <w:r>
        <w:t xml:space="preserve">Exemple 1 : Calcul de WP pour une conditionnelle (Méthodes 1 et 2)</w:t>
      </w:r>
    </w:p>
    <w:p>
      <w:pPr>
        <w:pStyle w:val="FirstParagraph"/>
      </w:pPr>
      <w:r>
        <w:rPr>
          <w:b/>
          <w:bCs/>
        </w:rPr>
        <w:t xml:space="preserve">Contexte</w:t>
      </w:r>
      <w:r>
        <w:t xml:space="preserve"> </w:t>
      </w:r>
      <w:r>
        <w:t xml:space="preserve">: Calculer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pour le programme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if 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</m:e>
          </m:d>
          <m:r>
            <m:rPr>
              <m:nor/>
              <m:sty m:val="p"/>
            </m:rPr>
            <m:t> then </m:t>
          </m:r>
          <m:r>
            <m:t>r</m:t>
          </m:r>
          <m:r>
            <m:t>e</m:t>
          </m:r>
          <m:r>
            <m:t>s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a</m:t>
          </m:r>
          <m:r>
            <m:rPr>
              <m:nor/>
              <m:sty m:val="p"/>
            </m:rPr>
            <m:t> else </m:t>
          </m:r>
          <m:r>
            <m:t>r</m:t>
          </m:r>
          <m:r>
            <m:t>e</m:t>
          </m:r>
          <m:r>
            <m:t>s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b</m:t>
          </m:r>
          <m:r>
            <m:rPr>
              <m:nor/>
              <m:sty m:val="p"/>
            </m:rPr>
            <m:t> endif</m:t>
          </m:r>
        </m:oMath>
      </m:oMathPara>
    </w:p>
    <w:p>
      <w:pPr>
        <w:pStyle w:val="FirstParagraph"/>
      </w:pPr>
      <w:r>
        <w:br/>
      </w:r>
      <w:r>
        <w:t xml:space="preserve">avec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r</m:t>
        </m:r>
        <m:r>
          <m:t>e</m:t>
        </m:r>
        <m:r>
          <m:t>s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Appliquer la règle de la conditionnelle 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11"/>
        </w:numPr>
      </w:pPr>
      <w:r>
        <w:t xml:space="preserve">Calculer les WP des affectations (Méthode 1) :</w:t>
      </w:r>
    </w:p>
    <w:p>
      <w:pPr>
        <w:pStyle w:val="Compact"/>
        <w:numPr>
          <w:ilvl w:val="1"/>
          <w:numId w:val="1012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r</m:t>
            </m:r>
            <m:r>
              <m:t>e</m:t>
            </m:r>
            <m:r>
              <m:t>s</m:t>
            </m:r>
            <m:r>
              <m:rPr>
                <m:sty m:val="p"/>
              </m:rPr>
              <m:t>←</m:t>
            </m:r>
            <m:r>
              <m:t>a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br/>
      </w:r>
    </w:p>
    <w:p>
      <w:pPr>
        <w:pStyle w:val="Compact"/>
        <w:numPr>
          <w:ilvl w:val="1"/>
          <w:numId w:val="1012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r</m:t>
            </m:r>
            <m:r>
              <m:t>e</m:t>
            </m:r>
            <m:r>
              <m:t>s</m:t>
            </m:r>
            <m:r>
              <m:rPr>
                <m:sty m:val="p"/>
              </m:rPr>
              <m:t>←</m:t>
            </m:r>
            <m:r>
              <m:t>b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br/>
      </w:r>
    </w:p>
    <w:p>
      <w:pPr>
        <w:pStyle w:val="Compact"/>
        <w:numPr>
          <w:ilvl w:val="0"/>
          <w:numId w:val="1011"/>
        </w:numPr>
      </w:pPr>
      <w:r>
        <w:t xml:space="preserve">Combiner 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soit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Xceef98605cb4c4a2f003d14e478a3a8cdb711f3"/>
    <w:p>
      <w:pPr>
        <w:pStyle w:val="Heading3"/>
      </w:pPr>
      <w:r>
        <w:t xml:space="preserve">Exemple 2 : Vérification de validité d’un triple de Hoare (Méthodes 4 et 5)</w:t>
      </w:r>
    </w:p>
    <w:p>
      <w:pPr>
        <w:pStyle w:val="FirstParagraph"/>
      </w:pPr>
      <w:r>
        <w:rPr>
          <w:b/>
          <w:bCs/>
        </w:rPr>
        <w:t xml:space="preserve">Contexte</w:t>
      </w:r>
      <w:r>
        <w:t xml:space="preserve"> </w:t>
      </w:r>
      <w:r>
        <w:t xml:space="preserve">: Vérifier si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  <m:r>
          <m:t> </m:t>
        </m:r>
        <m:r>
          <m:t>f</m:t>
        </m:r>
        <m:r>
          <m:t> </m:t>
        </m:r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est valide, avec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b"/>
          </m:rPr>
          <m:t>T</m:t>
        </m:r>
      </m:oMath>
      <w:r>
        <w:t xml:space="preserve"> </w:t>
      </w:r>
      <w:r>
        <w:t xml:space="preserve">(vrai) et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r</m:t>
        </m:r>
        <m:r>
          <m:t>e</m:t>
        </m:r>
        <m:r>
          <m:t>s</m:t>
        </m:r>
        <m:r>
          <m:rPr>
            <m:sty m:val="p"/>
          </m:rPr>
          <m:t>≥</m:t>
        </m:r>
        <m:r>
          <m:t>42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On a déjà calculé 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42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42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13"/>
        </w:numPr>
      </w:pPr>
      <w:r>
        <w:t xml:space="preserve">Pour la validité, il faut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c’est-à-dire que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soit vraie pour tout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Or, si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(donc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vrai), on doit avoir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42</m:t>
        </m:r>
      </m:oMath>
      <w:r>
        <w:t xml:space="preserve">, ce qui est faux. Donc l’implication n’est pas vraie pour toutes les valeurs.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Conclusion</w:t>
      </w:r>
      <w:r>
        <w:t xml:space="preserve"> </w:t>
      </w:r>
      <w:r>
        <w:t xml:space="preserve">: Le triple n’est pas valide. Il est toutefois</w:t>
      </w:r>
      <w:r>
        <w:t xml:space="preserve"> </w:t>
      </w:r>
      <w:r>
        <w:rPr>
          <w:i/>
          <w:iCs/>
        </w:rPr>
        <w:t xml:space="preserve">satisfiable</w:t>
      </w:r>
      <w:r>
        <w:t xml:space="preserve"> </w:t>
      </w:r>
      <w:r>
        <w:t xml:space="preserve">(ex. avec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42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X5d7106406a8cbe828d63f8318b4423d529fe38f"/>
    <w:p>
      <w:pPr>
        <w:pStyle w:val="Heading3"/>
      </w:pPr>
      <w:r>
        <w:t xml:space="preserve">Exemple 3 : Prise en compte de la division par zéro (Méthodes 3 et 4)</w:t>
      </w:r>
    </w:p>
    <w:p>
      <w:pPr>
        <w:pStyle w:val="FirstParagraph"/>
      </w:pPr>
      <w:r>
        <w:rPr>
          <w:b/>
          <w:bCs/>
        </w:rPr>
        <w:t xml:space="preserve">Contexte</w:t>
      </w:r>
      <w:r>
        <w:t xml:space="preserve"> </w:t>
      </w:r>
      <w:r>
        <w:t xml:space="preserve">: Calculer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pour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if 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</m:e>
          </m:d>
          <m:r>
            <m:rPr>
              <m:nor/>
              <m:sty m:val="p"/>
            </m:rPr>
            <m:t> then </m:t>
          </m:r>
          <m:r>
            <m:t>r</m:t>
          </m:r>
          <m:r>
            <m:t>e</m:t>
          </m:r>
          <m:r>
            <m:t>s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a</m:t>
          </m:r>
          <m:r>
            <m:rPr>
              <m:sty m:val="p"/>
            </m:rPr>
            <m:t>/</m:t>
          </m:r>
          <m:r>
            <m:t>b</m:t>
          </m:r>
          <m:r>
            <m:rPr>
              <m:nor/>
              <m:sty m:val="p"/>
            </m:rPr>
            <m:t> else </m:t>
          </m:r>
          <m:r>
            <m:t>r</m:t>
          </m:r>
          <m:r>
            <m:t>e</m:t>
          </m:r>
          <m:r>
            <m:t>s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b</m:t>
          </m:r>
          <m:r>
            <m:rPr>
              <m:sty m:val="p"/>
            </m:rPr>
            <m:t>/</m:t>
          </m:r>
          <m:r>
            <m:t>a</m:t>
          </m:r>
          <m:r>
            <m:rPr>
              <m:nor/>
              <m:sty m:val="p"/>
            </m:rPr>
            <m:t> endif</m:t>
          </m:r>
        </m:oMath>
      </m:oMathPara>
    </w:p>
    <w:p>
      <w:pPr>
        <w:pStyle w:val="FirstParagraph"/>
      </w:pPr>
      <w:r>
        <w:br/>
      </w:r>
      <w:r>
        <w:t xml:space="preserve">avec</w:t>
      </w:r>
      <w:r>
        <w:t xml:space="preserve"> </w:t>
      </w:r>
      <m:oMath>
        <m:sSub>
          <m:e>
            <m:r>
              <m:t>ψ</m:t>
            </m:r>
          </m:e>
          <m:sub>
            <m:r>
              <m:t>3</m:t>
            </m:r>
          </m:sub>
        </m:sSub>
        <m:r>
          <m:rPr>
            <m:sty m:val="p"/>
          </m:rPr>
          <m:t>:</m:t>
        </m:r>
        <m:r>
          <m:t>r</m:t>
        </m:r>
        <m:r>
          <m:t>e</m:t>
        </m:r>
        <m:r>
          <m:t>s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Appliquer la règle de la conditionnelle 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14"/>
        </w:numPr>
      </w:pPr>
      <w:r>
        <w:t xml:space="preserve">Pour chaque affectation avec division, ajouter la condition de non-nullité du dénominateur (Méthode 3) :</w:t>
      </w:r>
    </w:p>
    <w:p>
      <w:pPr>
        <w:pStyle w:val="Compact"/>
        <w:numPr>
          <w:ilvl w:val="1"/>
          <w:numId w:val="1015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br/>
      </w:r>
    </w:p>
    <w:p>
      <w:pPr>
        <w:pStyle w:val="Compact"/>
        <w:numPr>
          <w:ilvl w:val="1"/>
          <w:numId w:val="1015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br/>
      </w:r>
    </w:p>
    <w:p>
      <w:pPr>
        <w:pStyle w:val="Compact"/>
        <w:numPr>
          <w:ilvl w:val="0"/>
          <w:numId w:val="1014"/>
        </w:numPr>
      </w:pPr>
      <w:r>
        <w:t xml:space="preserve">Donc 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  <m:r>
                <m:rPr>
                  <m:sty m:val="p"/>
                </m:rPr>
                <m:t>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  <m:r>
                    <m:rPr>
                      <m:sty m:val="p"/>
                    </m:rPr>
                    <m:t>∧</m:t>
                  </m:r>
                  <m:r>
                    <m:t>b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  <m:r>
                    <m:rPr>
                      <m:sty m:val="p"/>
                    </m:rPr>
                    <m:t>∧</m:t>
                  </m:r>
                  <m:r>
                    <m:t>a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d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soit, en séparant les conditions de division 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Start w:id="29" w:name="X0583f518940049e8c47d354a17c1bc05a93b2c2"/>
    <w:p>
      <w:pPr>
        <w:pStyle w:val="Heading3"/>
      </w:pPr>
      <w:r>
        <w:t xml:space="preserve">Exemple 4 : Preuve d’une propriété sur WP par induction (Méthode 6)</w:t>
      </w:r>
    </w:p>
    <w:p>
      <w:pPr>
        <w:pStyle w:val="FirstParagraph"/>
      </w:pPr>
      <w:r>
        <w:rPr>
          <w:b/>
          <w:bCs/>
        </w:rPr>
        <w:t xml:space="preserve">Contexte</w:t>
      </w:r>
      <w:r>
        <w:t xml:space="preserve"> </w:t>
      </w:r>
      <w:r>
        <w:t xml:space="preserve">: Prouver que pour tout programme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et formules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Application</w:t>
      </w:r>
      <w:r>
        <w:t xml:space="preserve"> </w:t>
      </w:r>
      <w:r>
        <w:t xml:space="preserve">(esquisse de preuve par induction structurelle) 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Cas de base</w:t>
      </w:r>
      <w:r>
        <w:t xml:space="preserve"> </w:t>
      </w:r>
      <w:r>
        <w:t xml:space="preserve">: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est une affectation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e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  <m:r>
          <m:rPr>
            <m:sty m:val="p"/>
          </m:rPr>
          <m:t>∧</m:t>
        </m:r>
        <m:r>
          <m:t>Q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  <w:r>
        <w:br/>
      </w:r>
    </w:p>
    <w:p>
      <w:pPr>
        <w:pStyle w:val="Compact"/>
        <w:numPr>
          <w:ilvl w:val="1"/>
          <w:numId w:val="1017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∧</m:t>
        </m:r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  <m:r>
          <m:rPr>
            <m:sty m:val="p"/>
          </m:rPr>
          <m:t>∧</m:t>
        </m:r>
        <m:r>
          <m:t>Q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  <w:r>
        <w:br/>
      </w:r>
      <w:r>
        <w:t xml:space="preserve">→ Égalité vérifiée.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Cas conditionnel</w:t>
      </w:r>
      <w:r>
        <w:t xml:space="preserve"> 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nor/>
            <m:sty m:val="p"/>
          </m:rPr>
          <m:t>if </m:t>
        </m:r>
        <m:r>
          <m:t>B</m:t>
        </m:r>
        <m:r>
          <m:rPr>
            <m:nor/>
            <m:sty m:val="p"/>
          </m:rPr>
          <m:t> then 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else 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Par hypothèse d’induction,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=</m:t>
        </m:r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∧</m:t>
        </m:r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(idem pour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).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Alors 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Q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∧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∧</m:t>
                        </m:r>
                        <m:r>
                          <m:t>Q</m:t>
                        </m:r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P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∧</m:t>
                        </m:r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Q</m:t>
                            </m:r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P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∧</m:t>
                        </m:r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Q</m:t>
                            </m:r>
                          </m:e>
                        </m:d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Q</m:t>
                        </m:r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e>
                </m:d>
                <m:r>
                  <m:rPr>
                    <m:sty m:val="p"/>
                  </m:rPr>
                  <m:t>∧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Q</m:t>
                    </m:r>
                  </m:e>
                </m:d>
              </m:e>
            </m:mr>
          </m:m>
        </m:oMath>
      </m:oMathPara>
    </w:p>
    <w:p>
      <w:pPr>
        <w:pStyle w:val="Compact"/>
        <w:numPr>
          <w:ilvl w:val="1"/>
          <w:numId w:val="1000"/>
        </w:numPr>
      </w:pPr>
      <w:r>
        <w:br/>
      </w:r>
      <w:r>
        <w:t xml:space="preserve">→ La propriété est préservée.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Autres cas</w:t>
      </w:r>
      <w:r>
        <w:t xml:space="preserve"> </w:t>
      </w:r>
      <w:r>
        <w:t xml:space="preserve">(séquence, boucle) se traitent de manière similaire.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ynthèse"/>
    <w:p>
      <w:pPr>
        <w:pStyle w:val="Heading2"/>
      </w:pPr>
      <w:r>
        <w:t xml:space="preserve">Synthèse</w:t>
      </w:r>
    </w:p>
    <w:p>
      <w:pPr>
        <w:pStyle w:val="FirstParagraph"/>
      </w:pPr>
      <w:r>
        <w:t xml:space="preserve">Les exercices mettent en œuvre les techniques fondamentales de la vérification déductive :</w:t>
      </w:r>
    </w:p>
    <w:p>
      <w:pPr>
        <w:pStyle w:val="Compact"/>
        <w:numPr>
          <w:ilvl w:val="0"/>
          <w:numId w:val="1019"/>
        </w:numPr>
      </w:pPr>
      <w:r>
        <w:t xml:space="preserve">Le calcul de la</w:t>
      </w:r>
      <w:r>
        <w:t xml:space="preserve"> </w:t>
      </w:r>
      <w:r>
        <w:rPr>
          <w:b/>
          <w:bCs/>
        </w:rPr>
        <w:t xml:space="preserve">plus faible précondition</w:t>
      </w:r>
      <w:r>
        <w:t xml:space="preserve"> </w:t>
      </w:r>
      <w:r>
        <w:t xml:space="preserve">permet de transformer un problème de vérification de programme en un problème logique.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validité d’un triple de Hoare</w:t>
      </w:r>
      <w:r>
        <w:t xml:space="preserve"> </w:t>
      </w:r>
      <w:r>
        <w:t xml:space="preserve">se ramène à une implication logique, pouvant nécessiter l’ajout de</w:t>
      </w:r>
      <w:r>
        <w:t xml:space="preserve"> </w:t>
      </w:r>
      <w:r>
        <w:rPr>
          <w:b/>
          <w:bCs/>
        </w:rPr>
        <w:t xml:space="preserve">conditions de sûreté</w:t>
      </w:r>
      <w:r>
        <w:t xml:space="preserve"> </w:t>
      </w:r>
      <w:r>
        <w:t xml:space="preserve">(ex. non-division par zéro).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Des</w:t>
      </w:r>
      <w:r>
        <w:t xml:space="preserve"> </w:t>
      </w:r>
      <w:r>
        <w:rPr>
          <w:b/>
          <w:bCs/>
        </w:rPr>
        <w:t xml:space="preserve">preuves par induction structurelle</w:t>
      </w:r>
      <w:r>
        <w:t xml:space="preserve"> </w:t>
      </w:r>
      <w:r>
        <w:t xml:space="preserve">sur la syntaxe des programmes permettent d’établir des propriétés génériques des WP.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Ces méthodes sont à la base des outils de vérification formelle comme Why3, où les WP sont générées et vérifiées automatiquement.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3_files\figure-docx\dot-figure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2026-01-29T16:32:17Z</dcterms:created>
  <dcterms:modified xsi:type="dcterms:W3CDTF">2026-01-29T16:32:17Z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