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X3ae89e3cd5590bd7fe838f20b177a0aa9b0626f"/>
    <w:p>
      <w:pPr>
        <w:pStyle w:val="Heading1"/>
      </w:pPr>
      <w:r>
        <w:t xml:space="preserve">Série 7 : DPLL avec théories et théorie des tableaux</w:t>
      </w:r>
    </w:p>
    <w:bookmarkStart w:id="26" w:name="méthodes"/>
    <w:p>
      <w:pPr>
        <w:pStyle w:val="Heading2"/>
      </w:pPr>
      <w:r>
        <w:t xml:space="preserve">Méthodes</w:t>
      </w:r>
    </w:p>
    <w:bookmarkStart w:id="20" w:name="dpllt"/>
    <w:p>
      <w:pPr>
        <w:pStyle w:val="Heading3"/>
      </w:pPr>
      <w:r>
        <w:t xml:space="preserve">DPLL(T)</w:t>
      </w:r>
    </w:p>
    <w:p>
      <w:pPr>
        <w:pStyle w:val="FirstParagraph"/>
      </w:pPr>
      <w:r>
        <w:t xml:space="preserve">Méthode de décision pour les formules du premier ordre combinant l’algorithme DPLL classique (pour la partie propositionnelle) avec un solveur de théorie (T) pour vérifier la cohérence des littéraux dans une théorie spécifique (ex : entiers, EUF, tableaux).</w:t>
      </w:r>
      <w:r>
        <w:br/>
      </w:r>
      <w:r>
        <w:t xml:space="preserve">Sous‑catégories :</w:t>
      </w:r>
    </w:p>
    <w:p>
      <w:pPr>
        <w:pStyle w:val="Compact"/>
        <w:numPr>
          <w:ilvl w:val="0"/>
          <w:numId w:val="1001"/>
        </w:numPr>
      </w:pPr>
      <w:r>
        <w:rPr>
          <w:b/>
          <w:bCs/>
        </w:rPr>
        <w:t xml:space="preserve">DPLL propositionnel</w:t>
      </w:r>
      <w:r>
        <w:t xml:space="preserve"> </w:t>
      </w:r>
      <w:r>
        <w:t xml:space="preserve">: attribution de valeurs de vérité, propagation unitaire, backtrack.</w:t>
      </w:r>
    </w:p>
    <w:p>
      <w:pPr>
        <w:pStyle w:val="Compact"/>
        <w:numPr>
          <w:ilvl w:val="0"/>
          <w:numId w:val="1001"/>
        </w:numPr>
      </w:pPr>
      <w:r>
        <w:rPr>
          <w:b/>
          <w:bCs/>
        </w:rPr>
        <w:t xml:space="preserve">Intégration théorie</w:t>
      </w:r>
      <w:r>
        <w:t xml:space="preserve"> </w:t>
      </w:r>
      <w:r>
        <w:t xml:space="preserve">: le solveur de théorie valide ou invalide les affectations partielles en fonction des contraintes de la théorie.</w:t>
      </w:r>
    </w:p>
    <w:bookmarkEnd w:id="20"/>
    <w:bookmarkStart w:id="21" w:name="théorie-des-entiers-linéaires"/>
    <w:p>
      <w:pPr>
        <w:pStyle w:val="Heading3"/>
      </w:pPr>
      <w:r>
        <w:t xml:space="preserve">Théorie des entiers linéaires</w:t>
      </w:r>
    </w:p>
    <w:p>
      <w:pPr>
        <w:pStyle w:val="FirstParagraph"/>
      </w:pPr>
      <w:r>
        <w:t xml:space="preserve">Théorie permettant de raisonner sur les inégalités et égalités linéaires entre variables entières. Utilisée ici pour interpréter des littéraux comme</w:t>
      </w:r>
      <w:r>
        <w:t xml:space="preserve"> </w:t>
      </w:r>
      <m:oMath>
        <m:r>
          <m:t>a</m:t>
        </m:r>
        <m:r>
          <m:rPr>
            <m:sty m:val="p"/>
          </m:rPr>
          <m:t>+</m:t>
        </m:r>
        <m:r>
          <m:t>1</m:t>
        </m:r>
        <m:r>
          <m:rPr>
            <m:sty m:val="p"/>
          </m:rPr>
          <m:t>≤</m:t>
        </m:r>
        <m:r>
          <m:t>b</m:t>
        </m:r>
      </m:oMath>
      <w:r>
        <w:t xml:space="preserve">.</w:t>
      </w:r>
    </w:p>
    <w:bookmarkEnd w:id="21"/>
    <w:bookmarkStart w:id="22" w:name="X906c5b797d2d8c62cc1e7761a8cb1f136548014"/>
    <w:p>
      <w:pPr>
        <w:pStyle w:val="Heading3"/>
      </w:pPr>
      <w:r>
        <w:t xml:space="preserve">Théorie EUF (Equality with Uninterpreted Functions)</w:t>
      </w:r>
    </w:p>
    <w:p>
      <w:pPr>
        <w:pStyle w:val="FirstParagraph"/>
      </w:pPr>
      <w:r>
        <w:t xml:space="preserve">Théorie de l’égalité étendue à des symboles fonctionnels non interprétés. Les axiomes sont la réflexivité, la symétrie, la transitivité et la congruence : si</w:t>
      </w:r>
      <w:r>
        <w:t xml:space="preserve"> </w:t>
      </w:r>
      <m:oMath>
        <m:r>
          <m:t>x</m:t>
        </m:r>
        <m:r>
          <m:rPr>
            <m:sty m:val="p"/>
          </m:rPr>
          <m:t>=</m:t>
        </m:r>
        <m:r>
          <m:t>y</m:t>
        </m:r>
      </m:oMath>
      <w:r>
        <w:t xml:space="preserve"> </w:t>
      </w:r>
      <w:r>
        <w:t xml:space="preserve">alors</w:t>
      </w:r>
      <w:r>
        <w:t xml:space="preserve"> </w:t>
      </w:r>
      <m:oMath>
        <m:r>
          <m:t>f</m:t>
        </m:r>
        <m:d>
          <m:dPr>
            <m:begChr m:val="("/>
            <m:sepChr m:val=""/>
            <m:endChr m:val=")"/>
            <m:grow/>
          </m:dPr>
          <m:e>
            <m:r>
              <m:t>x</m:t>
            </m:r>
          </m:e>
        </m:d>
        <m:r>
          <m:rPr>
            <m:sty m:val="p"/>
          </m:rPr>
          <m:t>=</m:t>
        </m:r>
        <m:r>
          <m:t>f</m:t>
        </m:r>
        <m:d>
          <m:dPr>
            <m:begChr m:val="("/>
            <m:sepChr m:val=""/>
            <m:endChr m:val=")"/>
            <m:grow/>
          </m:dPr>
          <m:e>
            <m:r>
              <m:t>y</m:t>
            </m:r>
          </m:e>
        </m:d>
      </m:oMath>
      <w:r>
        <w:t xml:space="preserve">.</w:t>
      </w:r>
    </w:p>
    <w:bookmarkEnd w:id="22"/>
    <w:bookmarkStart w:id="23" w:name="théorie-des-tableaux"/>
    <w:p>
      <w:pPr>
        <w:pStyle w:val="Heading3"/>
      </w:pPr>
      <w:r>
        <w:t xml:space="preserve">Théorie des tableaux</w:t>
      </w:r>
    </w:p>
    <w:p>
      <w:pPr>
        <w:pStyle w:val="FirstParagraph"/>
      </w:pPr>
      <w:r>
        <w:t xml:space="preserve">Théorie spécifique aux opérations de lecture (</w:t>
      </w:r>
      <w:r>
        <w:rPr>
          <w:rStyle w:val="VerbatimChar"/>
        </w:rPr>
        <w:t xml:space="preserve">select</w:t>
      </w:r>
      <w:r>
        <w:t xml:space="preserve">) et écriture (</w:t>
      </w:r>
      <w:r>
        <w:rPr>
          <w:rStyle w:val="VerbatimChar"/>
        </w:rPr>
        <w:t xml:space="preserve">store</w:t>
      </w:r>
      <w:r>
        <w:t xml:space="preserve">) sur des tableaux. Axiomes fondamentaux :</w:t>
      </w:r>
    </w:p>
    <w:p>
      <w:pPr>
        <w:pStyle w:val="Compact"/>
        <w:numPr>
          <w:ilvl w:val="0"/>
          <w:numId w:val="1002"/>
        </w:numPr>
      </w:pPr>
      <w:r>
        <w:t xml:space="preserve">Lecture après écriture au même indice.</w:t>
      </w:r>
    </w:p>
    <w:p>
      <w:pPr>
        <w:pStyle w:val="Compact"/>
        <w:numPr>
          <w:ilvl w:val="0"/>
          <w:numId w:val="1002"/>
        </w:numPr>
      </w:pPr>
      <w:r>
        <w:t xml:space="preserve">Lecture après écriture à un indice différent.</w:t>
      </w:r>
    </w:p>
    <w:p>
      <w:pPr>
        <w:pStyle w:val="Compact"/>
        <w:numPr>
          <w:ilvl w:val="0"/>
          <w:numId w:val="1002"/>
        </w:numPr>
      </w:pPr>
      <w:r>
        <w:t xml:space="preserve">Extensionalité : deux tableaux égaux si tous leurs éléments sont égaux.</w:t>
      </w:r>
    </w:p>
    <w:bookmarkEnd w:id="23"/>
    <w:bookmarkStart w:id="24" w:name="Xd2b4a565f45fd3b67f1e4c2d7b8d937b0da0e4a"/>
    <w:p>
      <w:pPr>
        <w:pStyle w:val="Heading3"/>
      </w:pPr>
      <w:r>
        <w:t xml:space="preserve">Formalisation en logique du premier ordre</w:t>
      </w:r>
    </w:p>
    <w:p>
      <w:pPr>
        <w:pStyle w:val="FirstParagraph"/>
      </w:pPr>
      <w:r>
        <w:t xml:space="preserve">Traduction d’énoncés informels (propriétés de programmes, de structures de données) en formules quantifiées de la logique du premier ordre, utilisables ensuite par des solveurs automatisés.</w:t>
      </w:r>
    </w:p>
    <w:bookmarkEnd w:id="24"/>
    <w:bookmarkStart w:id="25" w:name="vérification-déquivalence-de-code"/>
    <w:p>
      <w:pPr>
        <w:pStyle w:val="Heading3"/>
      </w:pPr>
      <w:r>
        <w:t xml:space="preserve">Vérification d’équivalence de code</w:t>
      </w:r>
    </w:p>
    <w:p>
      <w:pPr>
        <w:pStyle w:val="FirstParagraph"/>
      </w:pPr>
      <w:r>
        <w:t xml:space="preserve">Comparaison de deux fragments de code en exprimant leur sémantique à l’aide d’une théorie (ex : tableaux) et recherche d’une condition logique garantissant l’égalité des résultats.</w:t>
      </w:r>
    </w:p>
    <w:bookmarkEnd w:id="25"/>
    <w:bookmarkEnd w:id="26"/>
    <w:bookmarkStart w:id="27" w:name="rappel"/>
    <w:p>
      <w:pPr>
        <w:pStyle w:val="Heading2"/>
      </w:pPr>
      <w:r>
        <w:t xml:space="preserve">Rappel</w:t>
      </w:r>
    </w:p>
    <w:p>
      <w:pPr>
        <w:pStyle w:val="Compact"/>
        <w:numPr>
          <w:ilvl w:val="0"/>
          <w:numId w:val="1003"/>
        </w:numPr>
      </w:pPr>
      <w:r>
        <w:rPr>
          <w:b/>
          <w:bCs/>
        </w:rPr>
        <w:t xml:space="preserve">Algorithme DPLL</w:t>
      </w:r>
      <w:r>
        <w:t xml:space="preserve"> </w:t>
      </w:r>
      <w:r>
        <w:t xml:space="preserve">: recherche récursive d’un modèle pour une formule propositionnelle, avec propagation unitaire et backtrack.</w:t>
      </w:r>
    </w:p>
    <w:p>
      <w:pPr>
        <w:pStyle w:val="Compact"/>
        <w:numPr>
          <w:ilvl w:val="0"/>
          <w:numId w:val="1003"/>
        </w:numPr>
      </w:pPr>
      <w:r>
        <w:rPr>
          <w:b/>
          <w:bCs/>
        </w:rPr>
        <w:t xml:space="preserve">Axiomes des tableaux</w:t>
      </w:r>
      <w:r>
        <w:t xml:space="preserve"> </w:t>
      </w:r>
      <w:r>
        <w:t xml:space="preserve">:</w:t>
      </w:r>
    </w:p>
    <w:p>
      <w:pPr>
        <w:pStyle w:val="Compact"/>
        <w:numPr>
          <w:ilvl w:val="1"/>
          <w:numId w:val="1004"/>
        </w:numPr>
      </w:pPr>
      <m:oMath>
        <m:r>
          <m:rPr>
            <m:sty m:val="p"/>
          </m:rPr>
          <m:t>∀</m:t>
        </m:r>
        <m:r>
          <m:t>a</m:t>
        </m:r>
        <m:r>
          <m:rPr>
            <m:sty m:val="p"/>
          </m:rPr>
          <m:t>,</m:t>
        </m:r>
        <m:r>
          <m:t>i</m:t>
        </m:r>
        <m:r>
          <m:rPr>
            <m:sty m:val="p"/>
          </m:rPr>
          <m:t>,</m:t>
        </m:r>
        <m:r>
          <m:t>e</m:t>
        </m:r>
        <m:r>
          <m:rPr>
            <m:sty m:val="p"/>
          </m:rPr>
          <m:t>.</m:t>
        </m:r>
        <m:r>
          <m:t> </m:t>
        </m:r>
        <m:r>
          <m:rPr>
            <m:nor/>
            <m:sty m:val="p"/>
          </m:rPr>
          <m:t>select</m:t>
        </m:r>
        <m:d>
          <m:dPr>
            <m:begChr m:val="("/>
            <m:sepChr m:val=""/>
            <m:endChr m:val=")"/>
            <m:grow/>
          </m:dPr>
          <m:e>
            <m:r>
              <m:rPr>
                <m:nor/>
                <m:sty m:val="p"/>
              </m:rPr>
              <m:t>store</m:t>
            </m:r>
            <m:d>
              <m:dPr>
                <m:begChr m:val="("/>
                <m:sepChr m:val=""/>
                <m:endChr m:val=")"/>
                <m:grow/>
              </m:dPr>
              <m:e>
                <m:r>
                  <m:t>a</m:t>
                </m:r>
                <m:r>
                  <m:rPr>
                    <m:sty m:val="p"/>
                  </m:rPr>
                  <m:t>,</m:t>
                </m:r>
                <m:r>
                  <m:t>i</m:t>
                </m:r>
                <m:r>
                  <m:rPr>
                    <m:sty m:val="p"/>
                  </m:rPr>
                  <m:t>,</m:t>
                </m:r>
                <m:r>
                  <m:t>e</m:t>
                </m:r>
              </m:e>
            </m:d>
            <m:r>
              <m:rPr>
                <m:sty m:val="p"/>
              </m:rPr>
              <m:t>,</m:t>
            </m:r>
            <m:r>
              <m:t>i</m:t>
            </m:r>
          </m:e>
        </m:d>
        <m:r>
          <m:rPr>
            <m:sty m:val="p"/>
          </m:rPr>
          <m:t>=</m:t>
        </m:r>
        <m:r>
          <m:t>e</m:t>
        </m:r>
      </m:oMath>
    </w:p>
    <w:p>
      <w:pPr>
        <w:pStyle w:val="Compact"/>
        <w:numPr>
          <w:ilvl w:val="1"/>
          <w:numId w:val="1004"/>
        </w:numPr>
      </w:pPr>
      <m:oMath>
        <m:r>
          <m:rPr>
            <m:sty m:val="p"/>
          </m:rPr>
          <m:t>∀</m:t>
        </m:r>
        <m:r>
          <m:t>a</m:t>
        </m:r>
        <m:r>
          <m:rPr>
            <m:sty m:val="p"/>
          </m:rPr>
          <m:t>,</m:t>
        </m:r>
        <m:r>
          <m:t>i</m:t>
        </m:r>
        <m:r>
          <m:rPr>
            <m:sty m:val="p"/>
          </m:rPr>
          <m:t>,</m:t>
        </m:r>
        <m:r>
          <m:t>j</m:t>
        </m:r>
        <m:r>
          <m:rPr>
            <m:sty m:val="p"/>
          </m:rPr>
          <m:t>,</m:t>
        </m:r>
        <m:r>
          <m:t>e</m:t>
        </m:r>
        <m:r>
          <m:rPr>
            <m:sty m:val="p"/>
          </m:rPr>
          <m:t>.</m:t>
        </m:r>
        <m:r>
          <m:t> </m:t>
        </m:r>
        <m:r>
          <m:t>i</m:t>
        </m:r>
        <m:r>
          <m:rPr>
            <m:sty m:val="p"/>
          </m:rPr>
          <m:t>≠</m:t>
        </m:r>
        <m:r>
          <m:t>j</m:t>
        </m:r>
        <m:r>
          <m:rPr>
            <m:sty m:val="p"/>
          </m:rPr>
          <m:t>⇒</m:t>
        </m:r>
        <m:r>
          <m:rPr>
            <m:nor/>
            <m:sty m:val="p"/>
          </m:rPr>
          <m:t>select</m:t>
        </m:r>
        <m:d>
          <m:dPr>
            <m:begChr m:val="("/>
            <m:sepChr m:val=""/>
            <m:endChr m:val=")"/>
            <m:grow/>
          </m:dPr>
          <m:e>
            <m:r>
              <m:rPr>
                <m:nor/>
                <m:sty m:val="p"/>
              </m:rPr>
              <m:t>store</m:t>
            </m:r>
            <m:d>
              <m:dPr>
                <m:begChr m:val="("/>
                <m:sepChr m:val=""/>
                <m:endChr m:val=")"/>
                <m:grow/>
              </m:dPr>
              <m:e>
                <m:r>
                  <m:t>a</m:t>
                </m:r>
                <m:r>
                  <m:rPr>
                    <m:sty m:val="p"/>
                  </m:rPr>
                  <m:t>,</m:t>
                </m:r>
                <m:r>
                  <m:t>i</m:t>
                </m:r>
                <m:r>
                  <m:rPr>
                    <m:sty m:val="p"/>
                  </m:rPr>
                  <m:t>,</m:t>
                </m:r>
                <m:r>
                  <m:t>e</m:t>
                </m:r>
              </m:e>
            </m:d>
            <m:r>
              <m:rPr>
                <m:sty m:val="p"/>
              </m:rPr>
              <m:t>,</m:t>
            </m:r>
            <m:r>
              <m:t>j</m:t>
            </m:r>
          </m:e>
        </m:d>
        <m:r>
          <m:rPr>
            <m:sty m:val="p"/>
          </m:rPr>
          <m:t>=</m:t>
        </m:r>
        <m:r>
          <m:rPr>
            <m:nor/>
            <m:sty m:val="p"/>
          </m:rPr>
          <m:t>select</m:t>
        </m:r>
        <m:d>
          <m:dPr>
            <m:begChr m:val="("/>
            <m:sepChr m:val=""/>
            <m:endChr m:val=")"/>
            <m:grow/>
          </m:dPr>
          <m:e>
            <m:r>
              <m:t>a</m:t>
            </m:r>
            <m:r>
              <m:rPr>
                <m:sty m:val="p"/>
              </m:rPr>
              <m:t>,</m:t>
            </m:r>
            <m:r>
              <m:t>j</m:t>
            </m:r>
          </m:e>
        </m:d>
      </m:oMath>
    </w:p>
    <w:p>
      <w:pPr>
        <w:pStyle w:val="Compact"/>
        <w:numPr>
          <w:ilvl w:val="1"/>
          <w:numId w:val="1004"/>
        </w:numPr>
      </w:pPr>
      <m:oMath>
        <m:r>
          <m:rPr>
            <m:sty m:val="p"/>
          </m:rPr>
          <m:t>∀</m:t>
        </m:r>
        <m:r>
          <m:t>a</m:t>
        </m:r>
        <m:r>
          <m:rPr>
            <m:sty m:val="p"/>
          </m:rPr>
          <m:t>,</m:t>
        </m:r>
        <m:r>
          <m:t>b</m:t>
        </m:r>
        <m:r>
          <m:rPr>
            <m:sty m:val="p"/>
          </m:rPr>
          <m:t>.</m:t>
        </m:r>
        <m:r>
          <m:t> </m:t>
        </m:r>
        <m:d>
          <m:dPr>
            <m:begChr m:val="("/>
            <m:sepChr m:val=""/>
            <m:endChr m:val=")"/>
            <m:grow/>
          </m:dPr>
          <m:e>
            <m:r>
              <m:rPr>
                <m:sty m:val="p"/>
              </m:rPr>
              <m:t>∀</m:t>
            </m:r>
            <m:r>
              <m:t>i</m:t>
            </m:r>
            <m:r>
              <m:rPr>
                <m:sty m:val="p"/>
              </m:rPr>
              <m:t>.</m:t>
            </m:r>
            <m:r>
              <m:t> </m:t>
            </m:r>
            <m:r>
              <m:rPr>
                <m:nor/>
                <m:sty m:val="p"/>
              </m:rPr>
              <m:t>select</m:t>
            </m:r>
            <m:d>
              <m:dPr>
                <m:begChr m:val="("/>
                <m:sepChr m:val=""/>
                <m:endChr m:val=")"/>
                <m:grow/>
              </m:dPr>
              <m:e>
                <m:r>
                  <m:t>a</m:t>
                </m:r>
                <m:r>
                  <m:rPr>
                    <m:sty m:val="p"/>
                  </m:rPr>
                  <m:t>,</m:t>
                </m:r>
                <m:r>
                  <m:t>i</m:t>
                </m:r>
              </m:e>
            </m:d>
            <m:r>
              <m:rPr>
                <m:sty m:val="p"/>
              </m:rPr>
              <m:t>=</m:t>
            </m:r>
            <m:r>
              <m:rPr>
                <m:nor/>
                <m:sty m:val="p"/>
              </m:rPr>
              <m:t>select</m:t>
            </m:r>
            <m:d>
              <m:dPr>
                <m:begChr m:val="("/>
                <m:sepChr m:val=""/>
                <m:endChr m:val=")"/>
                <m:grow/>
              </m:dPr>
              <m:e>
                <m:r>
                  <m:t>b</m:t>
                </m:r>
                <m:r>
                  <m:rPr>
                    <m:sty m:val="p"/>
                  </m:rPr>
                  <m:t>,</m:t>
                </m:r>
                <m:r>
                  <m:t>i</m:t>
                </m:r>
              </m:e>
            </m:d>
          </m:e>
        </m:d>
        <m:r>
          <m:rPr>
            <m:sty m:val="p"/>
          </m:rPr>
          <m:t>⇒</m:t>
        </m:r>
        <m:r>
          <m:t>a</m:t>
        </m:r>
        <m:r>
          <m:rPr>
            <m:sty m:val="p"/>
          </m:rPr>
          <m:t>=</m:t>
        </m:r>
        <m:r>
          <m:t>b</m:t>
        </m:r>
      </m:oMath>
    </w:p>
    <w:p>
      <w:pPr>
        <w:pStyle w:val="Compact"/>
        <w:numPr>
          <w:ilvl w:val="0"/>
          <w:numId w:val="1003"/>
        </w:numPr>
      </w:pPr>
      <w:r>
        <w:rPr>
          <w:b/>
          <w:bCs/>
        </w:rPr>
        <w:t xml:space="preserve">Congruence en EUF</w:t>
      </w:r>
      <w:r>
        <w:t xml:space="preserve"> </w:t>
      </w:r>
      <w:r>
        <w:t xml:space="preserve">:</w:t>
      </w:r>
      <w:r>
        <w:t xml:space="preserve"> </w:t>
      </w:r>
      <m:oMath>
        <m:r>
          <m:rPr>
            <m:sty m:val="p"/>
          </m:rPr>
          <m:t>∀</m:t>
        </m:r>
        <m:r>
          <m:t>x</m:t>
        </m:r>
        <m:r>
          <m:rPr>
            <m:sty m:val="p"/>
          </m:rPr>
          <m:t>,</m:t>
        </m:r>
        <m:r>
          <m:t>y</m:t>
        </m:r>
        <m:r>
          <m:rPr>
            <m:sty m:val="p"/>
          </m:rPr>
          <m:t>.</m:t>
        </m:r>
        <m:r>
          <m:t> </m:t>
        </m:r>
        <m:r>
          <m:t>x</m:t>
        </m:r>
        <m:r>
          <m:rPr>
            <m:sty m:val="p"/>
          </m:rPr>
          <m:t>=</m:t>
        </m:r>
        <m:r>
          <m:t>y</m:t>
        </m:r>
        <m:r>
          <m:rPr>
            <m:sty m:val="p"/>
          </m:rPr>
          <m:t>⇒</m:t>
        </m:r>
        <m:r>
          <m:t>f</m:t>
        </m:r>
        <m:d>
          <m:dPr>
            <m:begChr m:val="("/>
            <m:sepChr m:val=""/>
            <m:endChr m:val=")"/>
            <m:grow/>
          </m:dPr>
          <m:e>
            <m:r>
              <m:t>x</m:t>
            </m:r>
          </m:e>
        </m:d>
        <m:r>
          <m:rPr>
            <m:sty m:val="p"/>
          </m:rPr>
          <m:t>=</m:t>
        </m:r>
        <m:r>
          <m:t>f</m:t>
        </m:r>
        <m:d>
          <m:dPr>
            <m:begChr m:val="("/>
            <m:sepChr m:val=""/>
            <m:endChr m:val=")"/>
            <m:grow/>
          </m:dPr>
          <m:e>
            <m:r>
              <m:t>y</m:t>
            </m:r>
          </m:e>
        </m:d>
      </m:oMath>
    </w:p>
    <w:p>
      <w:pPr>
        <w:pStyle w:val="Compact"/>
        <w:numPr>
          <w:ilvl w:val="0"/>
          <w:numId w:val="1003"/>
        </w:numPr>
      </w:pPr>
      <w:r>
        <w:rPr>
          <w:b/>
          <w:bCs/>
        </w:rPr>
        <w:t xml:space="preserve">Condition d’équivalence de deux stores successifs</w:t>
      </w:r>
      <w:r>
        <w:t xml:space="preserve"> </w:t>
      </w:r>
      <w:r>
        <w:t xml:space="preserve">:</w:t>
      </w:r>
      <w:r>
        <w:br/>
      </w:r>
      <m:oMath>
        <m:r>
          <m:rPr>
            <m:nor/>
            <m:sty m:val="p"/>
          </m:rPr>
          <m:t>store</m:t>
        </m:r>
        <m:d>
          <m:dPr>
            <m:begChr m:val="("/>
            <m:sepChr m:val=""/>
            <m:endChr m:val=")"/>
            <m:grow/>
          </m:dPr>
          <m:e>
            <m:r>
              <m:rPr>
                <m:nor/>
                <m:sty m:val="p"/>
              </m:rPr>
              <m:t>store</m:t>
            </m:r>
            <m:d>
              <m:dPr>
                <m:begChr m:val="("/>
                <m:sepChr m:val=""/>
                <m:endChr m:val=")"/>
                <m:grow/>
              </m:dPr>
              <m:e>
                <m:r>
                  <m:t>a</m:t>
                </m:r>
                <m:r>
                  <m:rPr>
                    <m:sty m:val="p"/>
                  </m:rPr>
                  <m:t>,</m:t>
                </m:r>
                <m:r>
                  <m:t>i</m:t>
                </m:r>
                <m:r>
                  <m:rPr>
                    <m:sty m:val="p"/>
                  </m:rPr>
                  <m:t>,</m:t>
                </m:r>
                <m:r>
                  <m:t>b</m:t>
                </m:r>
              </m:e>
            </m:d>
            <m:r>
              <m:rPr>
                <m:sty m:val="p"/>
              </m:rPr>
              <m:t>,</m:t>
            </m:r>
            <m:r>
              <m:t>j</m:t>
            </m:r>
            <m:r>
              <m:rPr>
                <m:sty m:val="p"/>
              </m:rPr>
              <m:t>,</m:t>
            </m:r>
            <m:r>
              <m:t>c</m:t>
            </m:r>
          </m:e>
        </m:d>
        <m:r>
          <m:rPr>
            <m:sty m:val="p"/>
          </m:rPr>
          <m:t>=</m:t>
        </m:r>
        <m:r>
          <m:rPr>
            <m:nor/>
            <m:sty m:val="p"/>
          </m:rPr>
          <m:t>store</m:t>
        </m:r>
        <m:d>
          <m:dPr>
            <m:begChr m:val="("/>
            <m:sepChr m:val=""/>
            <m:endChr m:val=")"/>
            <m:grow/>
          </m:dPr>
          <m:e>
            <m:r>
              <m:rPr>
                <m:nor/>
                <m:sty m:val="p"/>
              </m:rPr>
              <m:t>store</m:t>
            </m:r>
            <m:d>
              <m:dPr>
                <m:begChr m:val="("/>
                <m:sepChr m:val=""/>
                <m:endChr m:val=")"/>
                <m:grow/>
              </m:dPr>
              <m:e>
                <m:r>
                  <m:t>a</m:t>
                </m:r>
                <m:r>
                  <m:rPr>
                    <m:sty m:val="p"/>
                  </m:rPr>
                  <m:t>,</m:t>
                </m:r>
                <m:r>
                  <m:t>j</m:t>
                </m:r>
                <m:r>
                  <m:rPr>
                    <m:sty m:val="p"/>
                  </m:rPr>
                  <m:t>,</m:t>
                </m:r>
                <m:r>
                  <m:t>c</m:t>
                </m:r>
              </m:e>
            </m:d>
            <m:r>
              <m:rPr>
                <m:sty m:val="p"/>
              </m:rPr>
              <m:t>,</m:t>
            </m:r>
            <m:r>
              <m:t>i</m:t>
            </m:r>
            <m:r>
              <m:rPr>
                <m:sty m:val="p"/>
              </m:rPr>
              <m:t>,</m:t>
            </m:r>
            <m:r>
              <m:t>b</m:t>
            </m:r>
          </m:e>
        </m:d>
      </m:oMath>
      <w:r>
        <w:t xml:space="preserve"> </w:t>
      </w:r>
      <w:r>
        <w:t xml:space="preserve">ssi</w:t>
      </w:r>
      <w:r>
        <w:t xml:space="preserve"> </w:t>
      </w:r>
      <m:oMath>
        <m:d>
          <m:dPr>
            <m:begChr m:val="("/>
            <m:sepChr m:val=""/>
            <m:endChr m:val=")"/>
            <m:grow/>
          </m:dPr>
          <m:e>
            <m:r>
              <m:t>i</m:t>
            </m:r>
            <m:r>
              <m:rPr>
                <m:sty m:val="p"/>
              </m:rPr>
              <m:t>≠</m:t>
            </m:r>
            <m:r>
              <m:t>j</m:t>
            </m:r>
          </m:e>
        </m:d>
        <m:r>
          <m:rPr>
            <m:sty m:val="p"/>
          </m:rPr>
          <m:t>∨</m:t>
        </m:r>
        <m:d>
          <m:dPr>
            <m:begChr m:val="("/>
            <m:sepChr m:val=""/>
            <m:endChr m:val=")"/>
            <m:grow/>
          </m:dPr>
          <m:e>
            <m:r>
              <m:t>i</m:t>
            </m:r>
            <m:r>
              <m:rPr>
                <m:sty m:val="p"/>
              </m:rPr>
              <m:t>=</m:t>
            </m:r>
            <m:r>
              <m:t>j</m:t>
            </m:r>
            <m:r>
              <m:rPr>
                <m:sty m:val="p"/>
              </m:rPr>
              <m:t>∧</m:t>
            </m:r>
            <m:r>
              <m:t>b</m:t>
            </m:r>
            <m:r>
              <m:rPr>
                <m:sty m:val="p"/>
              </m:rPr>
              <m:t>=</m:t>
            </m:r>
            <m:r>
              <m:t>c</m:t>
            </m:r>
          </m:e>
        </m:d>
      </m:oMath>
    </w:p>
    <w:bookmarkEnd w:id="27"/>
    <w:bookmarkStart w:id="30" w:name="exemples-illustratifs"/>
    <w:p>
      <w:pPr>
        <w:pStyle w:val="Heading2"/>
      </w:pPr>
      <w:r>
        <w:t xml:space="preserve">Exemples Illustratifs</w:t>
      </w:r>
    </w:p>
    <w:bookmarkStart w:id="28" w:name="Xc86de7fbb3c269c159178ded1c7714dd1fa094a"/>
    <w:p>
      <w:pPr>
        <w:pStyle w:val="Heading3"/>
      </w:pPr>
      <w:r>
        <w:t xml:space="preserve">Exemple 1 : DPLL avec la théorie des entiers</w:t>
      </w:r>
    </w:p>
    <w:p>
      <w:pPr>
        <w:pStyle w:val="FirstParagraph"/>
      </w:pPr>
      <w:r>
        <w:rPr>
          <w:b/>
          <w:bCs/>
        </w:rPr>
        <w:t xml:space="preserve">Contexte :</w:t>
      </w:r>
    </w:p>
    <w:p>
      <w:pPr>
        <w:pStyle w:val="BodyText"/>
      </w:pPr>
      <w:r>
        <w:t xml:space="preserve">On a une formule</w:t>
      </w:r>
      <w:r>
        <w:t xml:space="preserve"> </w:t>
      </w:r>
      <m:oMath>
        <m:r>
          <m:t>ϕ</m:t>
        </m:r>
        <m:r>
          <m:rPr>
            <m:sty m:val="p"/>
          </m:rPr>
          <m:t>=</m:t>
        </m:r>
        <m:d>
          <m:dPr>
            <m:begChr m:val="("/>
            <m:sepChr m:val=""/>
            <m:endChr m:val=")"/>
            <m:grow/>
          </m:dPr>
          <m:e>
            <m:r>
              <m:t>p</m:t>
            </m:r>
            <m:r>
              <m:rPr>
                <m:sty m:val="p"/>
              </m:rPr>
              <m:t>∨</m:t>
            </m:r>
            <m:r>
              <m:t>q</m:t>
            </m:r>
          </m:e>
        </m:d>
        <m:r>
          <m:rPr>
            <m:sty m:val="p"/>
          </m:rPr>
          <m:t>∧</m:t>
        </m:r>
        <m:d>
          <m:dPr>
            <m:begChr m:val="("/>
            <m:sepChr m:val=""/>
            <m:endChr m:val=")"/>
            <m:grow/>
          </m:dPr>
          <m:e>
            <m:r>
              <m:rPr>
                <m:sty m:val="p"/>
              </m:rPr>
              <m:t>¬</m:t>
            </m:r>
            <m:r>
              <m:t>p</m:t>
            </m:r>
            <m:r>
              <m:rPr>
                <m:sty m:val="p"/>
              </m:rPr>
              <m:t>∨</m:t>
            </m:r>
            <m:r>
              <m:t>r</m:t>
            </m:r>
          </m:e>
        </m:d>
        <m:r>
          <m:rPr>
            <m:sty m:val="p"/>
          </m:rPr>
          <m:t>∧</m:t>
        </m:r>
        <m:d>
          <m:dPr>
            <m:begChr m:val="("/>
            <m:sepChr m:val=""/>
            <m:endChr m:val=")"/>
            <m:grow/>
          </m:dPr>
          <m:e>
            <m:r>
              <m:t>s</m:t>
            </m:r>
            <m:r>
              <m:rPr>
                <m:sty m:val="p"/>
              </m:rPr>
              <m:t>∨</m:t>
            </m:r>
            <m:r>
              <m:t>t</m:t>
            </m:r>
          </m:e>
        </m:d>
        <m:r>
          <m:rPr>
            <m:sty m:val="p"/>
          </m:rPr>
          <m:t>∧</m:t>
        </m:r>
        <m:d>
          <m:dPr>
            <m:begChr m:val="("/>
            <m:sepChr m:val=""/>
            <m:endChr m:val=")"/>
            <m:grow/>
          </m:dPr>
          <m:e>
            <m:r>
              <m:rPr>
                <m:sty m:val="p"/>
              </m:rPr>
              <m:t>¬</m:t>
            </m:r>
            <m:r>
              <m:t>r</m:t>
            </m:r>
            <m:r>
              <m:rPr>
                <m:sty m:val="p"/>
              </m:rPr>
              <m:t>∨</m:t>
            </m:r>
            <m:r>
              <m:t>s</m:t>
            </m:r>
            <m:r>
              <m:rPr>
                <m:sty m:val="p"/>
              </m:rPr>
              <m:t>∨</m:t>
            </m:r>
            <m:r>
              <m:t>u</m:t>
            </m:r>
          </m:e>
        </m:d>
      </m:oMath>
      <w:r>
        <w:t xml:space="preserve">, où chaque variable propositionnelle est associée à une contrainte sur les entiers (ex :</w:t>
      </w:r>
      <w:r>
        <w:t xml:space="preserve"> </w:t>
      </w:r>
      <m:oMath>
        <m:r>
          <m:t>p</m:t>
        </m:r>
      </m:oMath>
      <w:r>
        <w:t xml:space="preserve"> </w:t>
      </w:r>
      <w:r>
        <w:t xml:space="preserve">correspond à</w:t>
      </w:r>
      <w:r>
        <w:t xml:space="preserve"> </w:t>
      </w:r>
      <m:oMath>
        <m:r>
          <m:t>a</m:t>
        </m:r>
        <m:r>
          <m:rPr>
            <m:sty m:val="p"/>
          </m:rPr>
          <m:t>+</m:t>
        </m:r>
        <m:r>
          <m:t>1</m:t>
        </m:r>
        <m:r>
          <m:rPr>
            <m:sty m:val="p"/>
          </m:rPr>
          <m:t>≤</m:t>
        </m:r>
        <m:r>
          <m:t>b</m:t>
        </m:r>
      </m:oMath>
      <w:r>
        <w:t xml:space="preserve">). On cherche une affectation satisfaisant</w:t>
      </w:r>
      <w:r>
        <w:t xml:space="preserve"> </w:t>
      </w:r>
      <m:oMath>
        <m:r>
          <m:t>ϕ</m:t>
        </m:r>
      </m:oMath>
      <w:r>
        <w:t xml:space="preserve"> </w:t>
      </w:r>
      <w:r>
        <w:t xml:space="preserve">et les contraintes de la théorie.</w:t>
      </w:r>
    </w:p>
    <w:p>
      <w:pPr>
        <w:pStyle w:val="BodyText"/>
      </w:pPr>
      <w:r>
        <w:rPr>
          <w:b/>
          <w:bCs/>
        </w:rPr>
        <w:t xml:space="preserve">Application :</w:t>
      </w:r>
    </w:p>
    <w:p>
      <w:pPr>
        <w:numPr>
          <w:ilvl w:val="0"/>
          <w:numId w:val="1005"/>
        </w:numPr>
      </w:pPr>
      <w:r>
        <w:rPr>
          <w:b/>
          <w:bCs/>
        </w:rPr>
        <w:t xml:space="preserve">DPLL propositionnel</w:t>
      </w:r>
      <w:r>
        <w:t xml:space="preserve"> </w:t>
      </w:r>
      <w:r>
        <w:t xml:space="preserve">: on part de l’affectation</w:t>
      </w:r>
      <w:r>
        <w:t xml:space="preserve"> </w:t>
      </w:r>
      <m:oMath>
        <m:r>
          <m:t>p</m:t>
        </m:r>
        <m:r>
          <m:rPr>
            <m:sty m:val="p"/>
          </m:rPr>
          <m:t>←</m:t>
        </m:r>
        <m:r>
          <m:rPr>
            <m:nor/>
            <m:sty m:val="p"/>
          </m:rPr>
          <m:t>True</m:t>
        </m:r>
      </m:oMath>
      <w:r>
        <w:t xml:space="preserve">.</w:t>
      </w:r>
    </w:p>
    <w:p>
      <w:pPr>
        <w:pStyle w:val="Compact"/>
        <w:numPr>
          <w:ilvl w:val="1"/>
          <w:numId w:val="1006"/>
        </w:numPr>
      </w:pPr>
      <m:oMath>
        <m:r>
          <m:t>ϕ</m:t>
        </m:r>
        <m:d>
          <m:dPr>
            <m:begChr m:val="["/>
            <m:sepChr m:val=""/>
            <m:endChr m:val="]"/>
            <m:grow/>
          </m:dPr>
          <m:e>
            <m:r>
              <m:t>p</m:t>
            </m:r>
          </m:e>
        </m:d>
        <m:r>
          <m:rPr>
            <m:sty m:val="p"/>
          </m:rPr>
          <m:t>=</m:t>
        </m:r>
        <m:r>
          <m:t>r</m:t>
        </m:r>
        <m:r>
          <m:rPr>
            <m:sty m:val="p"/>
          </m:rPr>
          <m:t>∧</m:t>
        </m:r>
        <m:d>
          <m:dPr>
            <m:begChr m:val="("/>
            <m:sepChr m:val=""/>
            <m:endChr m:val=")"/>
            <m:grow/>
          </m:dPr>
          <m:e>
            <m:r>
              <m:t>s</m:t>
            </m:r>
            <m:r>
              <m:rPr>
                <m:sty m:val="p"/>
              </m:rPr>
              <m:t>∨</m:t>
            </m:r>
            <m:r>
              <m:t>t</m:t>
            </m:r>
          </m:e>
        </m:d>
        <m:r>
          <m:rPr>
            <m:sty m:val="p"/>
          </m:rPr>
          <m:t>∧</m:t>
        </m:r>
        <m:d>
          <m:dPr>
            <m:begChr m:val="("/>
            <m:sepChr m:val=""/>
            <m:endChr m:val=")"/>
            <m:grow/>
          </m:dPr>
          <m:e>
            <m:r>
              <m:rPr>
                <m:sty m:val="p"/>
              </m:rPr>
              <m:t>¬</m:t>
            </m:r>
            <m:r>
              <m:t>r</m:t>
            </m:r>
            <m:r>
              <m:rPr>
                <m:sty m:val="p"/>
              </m:rPr>
              <m:t>∨</m:t>
            </m:r>
            <m:r>
              <m:t>s</m:t>
            </m:r>
            <m:r>
              <m:rPr>
                <m:sty m:val="p"/>
              </m:rPr>
              <m:t>∨</m:t>
            </m:r>
            <m:r>
              <m:t>u</m:t>
            </m:r>
          </m:e>
        </m:d>
      </m:oMath>
      <w:r>
        <w:t xml:space="preserve">.</w:t>
      </w:r>
    </w:p>
    <w:p>
      <w:pPr>
        <w:pStyle w:val="Compact"/>
        <w:numPr>
          <w:ilvl w:val="1"/>
          <w:numId w:val="1006"/>
        </w:numPr>
      </w:pPr>
      <w:r>
        <w:t xml:space="preserve">On choisit</w:t>
      </w:r>
      <w:r>
        <w:t xml:space="preserve"> </w:t>
      </w:r>
      <m:oMath>
        <m:r>
          <m:t>r</m:t>
        </m:r>
        <m:r>
          <m:rPr>
            <m:sty m:val="p"/>
          </m:rPr>
          <m:t>←</m:t>
        </m:r>
        <m:r>
          <m:rPr>
            <m:nor/>
            <m:sty m:val="p"/>
          </m:rPr>
          <m:t>True</m:t>
        </m:r>
      </m:oMath>
      <w:r>
        <w:t xml:space="preserve"> </w:t>
      </w:r>
      <w:r>
        <w:t xml:space="preserve">:</w:t>
      </w:r>
      <w:r>
        <w:t xml:space="preserve"> </w:t>
      </w:r>
      <m:oMath>
        <m:r>
          <m:t>ϕ</m:t>
        </m:r>
        <m:d>
          <m:dPr>
            <m:begChr m:val="["/>
            <m:sepChr m:val=""/>
            <m:endChr m:val="]"/>
            <m:grow/>
          </m:dPr>
          <m:e>
            <m:r>
              <m:t>p</m:t>
            </m:r>
            <m:r>
              <m:rPr>
                <m:sty m:val="p"/>
              </m:rPr>
              <m:t>,</m:t>
            </m:r>
            <m:r>
              <m:t>r</m:t>
            </m:r>
          </m:e>
        </m:d>
        <m:r>
          <m:rPr>
            <m:sty m:val="p"/>
          </m:rPr>
          <m:t>=</m:t>
        </m:r>
        <m:d>
          <m:dPr>
            <m:begChr m:val="("/>
            <m:sepChr m:val=""/>
            <m:endChr m:val=")"/>
            <m:grow/>
          </m:dPr>
          <m:e>
            <m:r>
              <m:t>s</m:t>
            </m:r>
            <m:r>
              <m:rPr>
                <m:sty m:val="p"/>
              </m:rPr>
              <m:t>∨</m:t>
            </m:r>
            <m:r>
              <m:t>t</m:t>
            </m:r>
          </m:e>
        </m:d>
        <m:r>
          <m:rPr>
            <m:sty m:val="p"/>
          </m:rPr>
          <m:t>∧</m:t>
        </m:r>
        <m:d>
          <m:dPr>
            <m:begChr m:val="("/>
            <m:sepChr m:val=""/>
            <m:endChr m:val=")"/>
            <m:grow/>
          </m:dPr>
          <m:e>
            <m:r>
              <m:t>s</m:t>
            </m:r>
            <m:r>
              <m:rPr>
                <m:sty m:val="p"/>
              </m:rPr>
              <m:t>∨</m:t>
            </m:r>
            <m:r>
              <m:t>u</m:t>
            </m:r>
          </m:e>
        </m:d>
      </m:oMath>
      <w:r>
        <w:t xml:space="preserve">.</w:t>
      </w:r>
    </w:p>
    <w:p>
      <w:pPr>
        <w:pStyle w:val="Compact"/>
        <w:numPr>
          <w:ilvl w:val="1"/>
          <w:numId w:val="1006"/>
        </w:numPr>
      </w:pPr>
      <w:r>
        <w:t xml:space="preserve">On choisit</w:t>
      </w:r>
      <w:r>
        <w:t xml:space="preserve"> </w:t>
      </w:r>
      <m:oMath>
        <m:r>
          <m:t>s</m:t>
        </m:r>
        <m:r>
          <m:rPr>
            <m:sty m:val="p"/>
          </m:rPr>
          <m:t>←</m:t>
        </m:r>
        <m:r>
          <m:rPr>
            <m:nor/>
            <m:sty m:val="p"/>
          </m:rPr>
          <m:t>True</m:t>
        </m:r>
      </m:oMath>
      <w:r>
        <w:t xml:space="preserve"> </w:t>
      </w:r>
      <w:r>
        <w:t xml:space="preserve">:</w:t>
      </w:r>
      <w:r>
        <w:t xml:space="preserve"> </w:t>
      </w:r>
      <m:oMath>
        <m:r>
          <m:t>ϕ</m:t>
        </m:r>
        <m:d>
          <m:dPr>
            <m:begChr m:val="["/>
            <m:sepChr m:val=""/>
            <m:endChr m:val="]"/>
            <m:grow/>
          </m:dPr>
          <m:e>
            <m:r>
              <m:t>p</m:t>
            </m:r>
            <m:r>
              <m:rPr>
                <m:sty m:val="p"/>
              </m:rPr>
              <m:t>,</m:t>
            </m:r>
            <m:r>
              <m:t>r</m:t>
            </m:r>
            <m:r>
              <m:rPr>
                <m:sty m:val="p"/>
              </m:rPr>
              <m:t>,</m:t>
            </m:r>
            <m:r>
              <m:t>s</m:t>
            </m:r>
          </m:e>
        </m:d>
        <m:r>
          <m:rPr>
            <m:sty m:val="p"/>
          </m:rPr>
          <m:t>=</m:t>
        </m:r>
        <m:r>
          <m:rPr>
            <m:nor/>
            <m:sty m:val="p"/>
          </m:rPr>
          <m:t>True</m:t>
        </m:r>
      </m:oMath>
      <w:r>
        <w:t xml:space="preserve">.</w:t>
      </w:r>
    </w:p>
    <w:p>
      <w:pPr>
        <w:pStyle w:val="Compact"/>
        <w:numPr>
          <w:ilvl w:val="1"/>
          <w:numId w:val="1006"/>
        </w:numPr>
      </w:pPr>
      <w:r>
        <w:t xml:space="preserve">Modèle propositionnel :</w:t>
      </w:r>
      <w:r>
        <w:t xml:space="preserve"> </w:t>
      </w:r>
      <m:oMath>
        <m:r>
          <m:t>I</m:t>
        </m:r>
        <m:r>
          <m:rPr>
            <m:sty m:val="p"/>
          </m:rPr>
          <m:t>=</m:t>
        </m:r>
        <m:r>
          <m:rPr>
            <m:sty m:val="p"/>
          </m:rPr>
          <m:t>{</m:t>
        </m:r>
        <m:r>
          <m:t>p</m:t>
        </m:r>
        <m:r>
          <m:rPr>
            <m:sty m:val="p"/>
          </m:rPr>
          <m:t>←</m:t>
        </m:r>
        <m:r>
          <m:rPr>
            <m:nor/>
            <m:sty m:val="p"/>
          </m:rPr>
          <m:t>True</m:t>
        </m:r>
        <m:r>
          <m:rPr>
            <m:sty m:val="p"/>
          </m:rPr>
          <m:t>,</m:t>
        </m:r>
        <m:r>
          <m:t>r</m:t>
        </m:r>
        <m:r>
          <m:rPr>
            <m:sty m:val="p"/>
          </m:rPr>
          <m:t>←</m:t>
        </m:r>
        <m:r>
          <m:rPr>
            <m:nor/>
            <m:sty m:val="p"/>
          </m:rPr>
          <m:t>True</m:t>
        </m:r>
        <m:r>
          <m:rPr>
            <m:sty m:val="p"/>
          </m:rPr>
          <m:t>,</m:t>
        </m:r>
        <m:r>
          <m:t>s</m:t>
        </m:r>
        <m:r>
          <m:rPr>
            <m:sty m:val="p"/>
          </m:rPr>
          <m:t>←</m:t>
        </m:r>
        <m:r>
          <m:rPr>
            <m:nor/>
            <m:sty m:val="p"/>
          </m:rPr>
          <m:t>True</m:t>
        </m:r>
        <m:r>
          <m:rPr>
            <m:sty m:val="p"/>
          </m:rPr>
          <m:t>}</m:t>
        </m:r>
      </m:oMath>
      <w:r>
        <w:t xml:space="preserve">.</w:t>
      </w:r>
    </w:p>
    <w:p>
      <w:pPr>
        <w:numPr>
          <w:ilvl w:val="0"/>
          <w:numId w:val="1005"/>
        </w:numPr>
      </w:pPr>
      <w:r>
        <w:rPr>
          <w:b/>
          <w:bCs/>
        </w:rPr>
        <w:t xml:space="preserve">Vérification théorie des entiers</w:t>
      </w:r>
      <w:r>
        <w:t xml:space="preserve"> </w:t>
      </w:r>
      <w:r>
        <w:t xml:space="preserve">:</w:t>
      </w:r>
    </w:p>
    <w:p>
      <w:pPr>
        <w:numPr>
          <w:ilvl w:val="0"/>
          <w:numId w:val="1000"/>
        </w:numPr>
      </w:pPr>
      <w:r>
        <w:t xml:space="preserve">Les contraintes correspondantes sont :</w:t>
      </w:r>
    </w:p>
    <w:p>
      <w:pPr>
        <w:pStyle w:val="Compact"/>
        <w:numPr>
          <w:ilvl w:val="1"/>
          <w:numId w:val="1007"/>
        </w:numPr>
      </w:pPr>
      <m:oMath>
        <m:r>
          <m:t>p</m:t>
        </m:r>
        <m:r>
          <m:rPr>
            <m:sty m:val="p"/>
          </m:rPr>
          <m:t>:</m:t>
        </m:r>
        <m:r>
          <m:t>a</m:t>
        </m:r>
        <m:r>
          <m:rPr>
            <m:sty m:val="p"/>
          </m:rPr>
          <m:t>+</m:t>
        </m:r>
        <m:r>
          <m:t>1</m:t>
        </m:r>
        <m:r>
          <m:rPr>
            <m:sty m:val="p"/>
          </m:rPr>
          <m:t>≤</m:t>
        </m:r>
        <m:r>
          <m:t>b</m:t>
        </m:r>
      </m:oMath>
    </w:p>
    <w:p>
      <w:pPr>
        <w:pStyle w:val="Compact"/>
        <w:numPr>
          <w:ilvl w:val="1"/>
          <w:numId w:val="1007"/>
        </w:numPr>
      </w:pPr>
      <m:oMath>
        <m:r>
          <m:t>r</m:t>
        </m:r>
        <m:r>
          <m:rPr>
            <m:sty m:val="p"/>
          </m:rPr>
          <m:t>:</m:t>
        </m:r>
        <m:r>
          <m:t>a</m:t>
        </m:r>
        <m:r>
          <m:rPr>
            <m:sty m:val="p"/>
          </m:rPr>
          <m:t>&gt;</m:t>
        </m:r>
        <m:r>
          <m:t>b</m:t>
        </m:r>
        <m:r>
          <m:rPr>
            <m:sty m:val="p"/>
          </m:rPr>
          <m:t>+</m:t>
        </m:r>
        <m:r>
          <m:t>c</m:t>
        </m:r>
      </m:oMath>
    </w:p>
    <w:p>
      <w:pPr>
        <w:pStyle w:val="Compact"/>
        <w:numPr>
          <w:ilvl w:val="1"/>
          <w:numId w:val="1007"/>
        </w:numPr>
      </w:pPr>
      <m:oMath>
        <m:r>
          <m:t>s</m:t>
        </m:r>
        <m:r>
          <m:rPr>
            <m:sty m:val="p"/>
          </m:rPr>
          <m:t>:</m:t>
        </m:r>
        <m:r>
          <m:t>b</m:t>
        </m:r>
        <m:r>
          <m:rPr>
            <m:sty m:val="p"/>
          </m:rPr>
          <m:t>&gt;</m:t>
        </m:r>
        <m:r>
          <m:t>0</m:t>
        </m:r>
      </m:oMath>
    </w:p>
    <w:p>
      <w:pPr>
        <w:numPr>
          <w:ilvl w:val="0"/>
          <w:numId w:val="1000"/>
        </w:numPr>
      </w:pPr>
      <w:r>
        <w:t xml:space="preserve">On doit trouver des entiers</w:t>
      </w:r>
      <w:r>
        <w:t xml:space="preserve"> </w:t>
      </w:r>
      <m:oMath>
        <m:r>
          <m:t>a</m:t>
        </m:r>
        <m:r>
          <m:rPr>
            <m:sty m:val="p"/>
          </m:rPr>
          <m:t>,</m:t>
        </m:r>
        <m:r>
          <m:t>b</m:t>
        </m:r>
        <m:r>
          <m:rPr>
            <m:sty m:val="p"/>
          </m:rPr>
          <m:t>,</m:t>
        </m:r>
        <m:r>
          <m:t>c</m:t>
        </m:r>
      </m:oMath>
      <w:r>
        <w:t xml:space="preserve"> </w:t>
      </w:r>
      <w:r>
        <w:t xml:space="preserve">satisfaisant ces trois inégalités.</w:t>
      </w:r>
    </w:p>
    <w:p>
      <w:pPr>
        <w:numPr>
          <w:ilvl w:val="0"/>
          <w:numId w:val="1000"/>
        </w:numPr>
      </w:pPr>
      <w:r>
        <w:t xml:space="preserve">Choix :</w:t>
      </w:r>
      <w:r>
        <w:t xml:space="preserve"> </w:t>
      </w:r>
      <m:oMath>
        <m:r>
          <m:t>a</m:t>
        </m:r>
        <m:r>
          <m:rPr>
            <m:sty m:val="p"/>
          </m:rPr>
          <m:t>=</m:t>
        </m:r>
        <m:r>
          <m:t>10</m:t>
        </m:r>
        <m:r>
          <m:rPr>
            <m:sty m:val="p"/>
          </m:rPr>
          <m:t>,</m:t>
        </m:r>
        <m:r>
          <m:t> </m:t>
        </m:r>
        <m:r>
          <m:t>b</m:t>
        </m:r>
        <m:r>
          <m:rPr>
            <m:sty m:val="p"/>
          </m:rPr>
          <m:t>=</m:t>
        </m:r>
        <m:r>
          <m:t>11</m:t>
        </m:r>
        <m:r>
          <m:rPr>
            <m:sty m:val="p"/>
          </m:rPr>
          <m:t>,</m:t>
        </m:r>
        <m:r>
          <m:t> </m:t>
        </m:r>
        <m:r>
          <m:t>c</m:t>
        </m:r>
        <m:r>
          <m:rPr>
            <m:sty m:val="p"/>
          </m:rPr>
          <m:t>=</m:t>
        </m:r>
        <m:r>
          <m:rPr>
            <m:sty m:val="p"/>
          </m:rPr>
          <m:t>−</m:t>
        </m:r>
        <m:r>
          <m:t>2</m:t>
        </m:r>
      </m:oMath>
    </w:p>
    <w:p>
      <w:pPr>
        <w:pStyle w:val="Compact"/>
        <w:numPr>
          <w:ilvl w:val="1"/>
          <w:numId w:val="1008"/>
        </w:numPr>
      </w:pPr>
      <m:oMath>
        <m:r>
          <m:t>10</m:t>
        </m:r>
        <m:r>
          <m:rPr>
            <m:sty m:val="p"/>
          </m:rPr>
          <m:t>+</m:t>
        </m:r>
        <m:r>
          <m:t>1</m:t>
        </m:r>
        <m:r>
          <m:rPr>
            <m:sty m:val="p"/>
          </m:rPr>
          <m:t>≤</m:t>
        </m:r>
        <m:r>
          <m:t>11</m:t>
        </m:r>
      </m:oMath>
      <w:r>
        <w:t xml:space="preserve"> </w:t>
      </w:r>
      <w:r>
        <w:t xml:space="preserve">vraie,</w:t>
      </w:r>
    </w:p>
    <w:p>
      <w:pPr>
        <w:pStyle w:val="Compact"/>
        <w:numPr>
          <w:ilvl w:val="1"/>
          <w:numId w:val="1008"/>
        </w:numPr>
      </w:pPr>
      <m:oMath>
        <m:r>
          <m:t>10</m:t>
        </m:r>
        <m:r>
          <m:rPr>
            <m:sty m:val="p"/>
          </m:rPr>
          <m:t>&gt;</m:t>
        </m:r>
        <m:r>
          <m:t>11</m:t>
        </m:r>
        <m:r>
          <m:rPr>
            <m:sty m:val="p"/>
          </m:rPr>
          <m:t>+</m:t>
        </m:r>
        <m:d>
          <m:dPr>
            <m:begChr m:val="("/>
            <m:sepChr m:val=""/>
            <m:endChr m:val=")"/>
            <m:grow/>
          </m:dPr>
          <m:e>
            <m:r>
              <m:rPr>
                <m:sty m:val="p"/>
              </m:rPr>
              <m:t>−</m:t>
            </m:r>
            <m:r>
              <m:t>2</m:t>
            </m:r>
          </m:e>
        </m:d>
      </m:oMath>
      <w:r>
        <w:t xml:space="preserve"> </w:t>
      </w:r>
      <w:r>
        <w:t xml:space="preserve">soit</w:t>
      </w:r>
      <w:r>
        <w:t xml:space="preserve"> </w:t>
      </w:r>
      <m:oMath>
        <m:r>
          <m:t>10</m:t>
        </m:r>
        <m:r>
          <m:rPr>
            <m:sty m:val="p"/>
          </m:rPr>
          <m:t>&gt;</m:t>
        </m:r>
        <m:r>
          <m:t>9</m:t>
        </m:r>
      </m:oMath>
      <w:r>
        <w:t xml:space="preserve"> </w:t>
      </w:r>
      <w:r>
        <w:t xml:space="preserve">vraie,</w:t>
      </w:r>
    </w:p>
    <w:p>
      <w:pPr>
        <w:pStyle w:val="Compact"/>
        <w:numPr>
          <w:ilvl w:val="1"/>
          <w:numId w:val="1008"/>
        </w:numPr>
      </w:pPr>
      <m:oMath>
        <m:r>
          <m:t>11</m:t>
        </m:r>
        <m:r>
          <m:rPr>
            <m:sty m:val="p"/>
          </m:rPr>
          <m:t>&gt;</m:t>
        </m:r>
        <m:r>
          <m:t>0</m:t>
        </m:r>
      </m:oMath>
      <w:r>
        <w:t xml:space="preserve"> </w:t>
      </w:r>
      <w:r>
        <w:t xml:space="preserve">vraie.</w:t>
      </w:r>
    </w:p>
    <w:p>
      <w:pPr>
        <w:numPr>
          <w:ilvl w:val="0"/>
          <w:numId w:val="1000"/>
        </w:numPr>
      </w:pPr>
      <w:r>
        <w:t xml:space="preserve">Donc le modèle est valide dans la théorie des entiers.</w:t>
      </w:r>
    </w:p>
    <w:bookmarkEnd w:id="28"/>
    <w:bookmarkStart w:id="29" w:name="X11c744fbe9d50fcc5112966cfd8a2309a42d2fd"/>
    <w:p>
      <w:pPr>
        <w:pStyle w:val="Heading3"/>
      </w:pPr>
      <w:r>
        <w:t xml:space="preserve">Exemple 2 : Théorie des tableaux et équivalence de code</w:t>
      </w:r>
    </w:p>
    <w:p>
      <w:pPr>
        <w:pStyle w:val="FirstParagraph"/>
      </w:pPr>
      <w:r>
        <w:rPr>
          <w:b/>
          <w:bCs/>
        </w:rPr>
        <w:t xml:space="preserve">Contexte :</w:t>
      </w:r>
      <w:r>
        <w:br/>
      </w:r>
      <w:r>
        <w:t xml:space="preserve">On compare deux séquences d’écritures dans un tableau :</w:t>
      </w:r>
    </w:p>
    <w:p>
      <w:pPr>
        <w:pStyle w:val="Compact"/>
        <w:numPr>
          <w:ilvl w:val="0"/>
          <w:numId w:val="1009"/>
        </w:numPr>
      </w:pPr>
      <w:r>
        <w:rPr>
          <w:rStyle w:val="VerbatimChar"/>
        </w:rPr>
        <w:t xml:space="preserve">array1 = store(store(a,i,b), j, c)</w:t>
      </w:r>
    </w:p>
    <w:p>
      <w:pPr>
        <w:pStyle w:val="Compact"/>
        <w:numPr>
          <w:ilvl w:val="0"/>
          <w:numId w:val="1009"/>
        </w:numPr>
      </w:pPr>
      <w:r>
        <w:rPr>
          <w:rStyle w:val="VerbatimChar"/>
        </w:rPr>
        <w:t xml:space="preserve">array2 = store(store(a,j,c), i, b)</w:t>
      </w:r>
    </w:p>
    <w:p>
      <w:pPr>
        <w:pStyle w:val="FirstParagraph"/>
      </w:pPr>
      <w:r>
        <w:t xml:space="preserve">On veut savoir quand</w:t>
      </w:r>
      <w:r>
        <w:t xml:space="preserve"> </w:t>
      </w:r>
      <w:r>
        <w:rPr>
          <w:rStyle w:val="VerbatimChar"/>
        </w:rPr>
        <w:t xml:space="preserve">array1</w:t>
      </w:r>
      <w:r>
        <w:t xml:space="preserve"> </w:t>
      </w:r>
      <w:r>
        <w:t xml:space="preserve">égale</w:t>
      </w:r>
      <w:r>
        <w:t xml:space="preserve"> </w:t>
      </w:r>
      <w:r>
        <w:rPr>
          <w:rStyle w:val="VerbatimChar"/>
        </w:rPr>
        <w:t xml:space="preserve">array2</w:t>
      </w:r>
      <w:r>
        <w:t xml:space="preserve">.</w:t>
      </w:r>
    </w:p>
    <w:p>
      <w:pPr>
        <w:pStyle w:val="BodyText"/>
      </w:pPr>
      <w:r>
        <w:rPr>
          <w:b/>
          <w:bCs/>
        </w:rPr>
        <w:t xml:space="preserve">Application :</w:t>
      </w:r>
      <w:r>
        <w:t xml:space="preserve"> </w:t>
      </w:r>
      <w:r>
        <w:t xml:space="preserve">1.</w:t>
      </w:r>
      <w:r>
        <w:t xml:space="preserve"> </w:t>
      </w:r>
      <w:r>
        <w:rPr>
          <w:b/>
          <w:bCs/>
        </w:rPr>
        <w:t xml:space="preserve">Cas</w:t>
      </w:r>
      <w:r>
        <w:rPr>
          <w:b/>
          <w:bCs/>
        </w:rPr>
        <w:t xml:space="preserve"> </w:t>
      </w:r>
      <m:oMath>
        <m:r>
          <m:t>i</m:t>
        </m:r>
        <m:r>
          <m:rPr>
            <m:sty m:val="p"/>
          </m:rPr>
          <m:t>≠</m:t>
        </m:r>
        <m:r>
          <m:t>j</m:t>
        </m:r>
      </m:oMath>
      <w:r>
        <w:t xml:space="preserve"> </w:t>
      </w:r>
      <w:r>
        <w:t xml:space="preserve">:</w:t>
      </w:r>
    </w:p>
    <w:p>
      <w:pPr>
        <w:pStyle w:val="BodyText"/>
      </w:pPr>
      <w:r>
        <w:t xml:space="preserve">Les écritures sont à des indices distincts, l’ordre n’a pas d’importance. Les deux séquences produisent un tableau où :</w:t>
      </w:r>
    </w:p>
    <w:p>
      <w:pPr>
        <w:pStyle w:val="Compact"/>
        <w:numPr>
          <w:ilvl w:val="0"/>
          <w:numId w:val="1010"/>
        </w:numPr>
      </w:pPr>
      <w:r>
        <w:t xml:space="preserve">à l’indice</w:t>
      </w:r>
      <w:r>
        <w:t xml:space="preserve"> </w:t>
      </w:r>
      <m:oMath>
        <m:r>
          <m:t>i</m:t>
        </m:r>
      </m:oMath>
      <w:r>
        <w:t xml:space="preserve"> </w:t>
      </w:r>
      <w:r>
        <w:t xml:space="preserve">: valeur</w:t>
      </w:r>
      <w:r>
        <w:t xml:space="preserve"> </w:t>
      </w:r>
      <m:oMath>
        <m:r>
          <m:t>b</m:t>
        </m:r>
      </m:oMath>
      <w:r>
        <w:t xml:space="preserve">,</w:t>
      </w:r>
    </w:p>
    <w:p>
      <w:pPr>
        <w:pStyle w:val="Compact"/>
        <w:numPr>
          <w:ilvl w:val="0"/>
          <w:numId w:val="1010"/>
        </w:numPr>
      </w:pPr>
      <w:r>
        <w:t xml:space="preserve">à l’indice</w:t>
      </w:r>
      <w:r>
        <w:t xml:space="preserve"> </w:t>
      </w:r>
      <m:oMath>
        <m:r>
          <m:t>j</m:t>
        </m:r>
      </m:oMath>
      <w:r>
        <w:t xml:space="preserve"> </w:t>
      </w:r>
      <w:r>
        <w:t xml:space="preserve">: valeur</w:t>
      </w:r>
      <w:r>
        <w:t xml:space="preserve"> </w:t>
      </w:r>
      <m:oMath>
        <m:r>
          <m:t>c</m:t>
        </m:r>
      </m:oMath>
      <w:r>
        <w:t xml:space="preserve">,</w:t>
      </w:r>
    </w:p>
    <w:p>
      <w:pPr>
        <w:pStyle w:val="Compact"/>
        <w:numPr>
          <w:ilvl w:val="0"/>
          <w:numId w:val="1010"/>
        </w:numPr>
      </w:pPr>
      <w:r>
        <w:t xml:space="preserve">ailleurs identique à</w:t>
      </w:r>
      <w:r>
        <w:t xml:space="preserve"> </w:t>
      </w:r>
      <m:oMath>
        <m:r>
          <m:t>a</m:t>
        </m:r>
      </m:oMath>
      <w:r>
        <w:t xml:space="preserve">.</w:t>
      </w:r>
    </w:p>
    <w:p>
      <w:pPr>
        <w:pStyle w:val="FirstParagraph"/>
      </w:pPr>
      <w:r>
        <w:t xml:space="preserve">Donc égalité.</w:t>
      </w:r>
    </w:p>
    <w:p>
      <w:pPr>
        <w:numPr>
          <w:ilvl w:val="0"/>
          <w:numId w:val="1011"/>
        </w:numPr>
      </w:pPr>
      <w:r>
        <w:rPr>
          <w:b/>
          <w:bCs/>
        </w:rPr>
        <w:t xml:space="preserve">Cas</w:t>
      </w:r>
      <w:r>
        <w:rPr>
          <w:b/>
          <w:bCs/>
        </w:rPr>
        <w:t xml:space="preserve"> </w:t>
      </w:r>
      <m:oMath>
        <m:r>
          <m:t>i</m:t>
        </m:r>
        <m:r>
          <m:rPr>
            <m:sty m:val="p"/>
          </m:rPr>
          <m:t>=</m:t>
        </m:r>
        <m:r>
          <m:t>j</m:t>
        </m:r>
      </m:oMath>
      <w:r>
        <w:t xml:space="preserve"> </w:t>
      </w:r>
      <w:r>
        <w:t xml:space="preserve">:</w:t>
      </w:r>
      <w:r>
        <w:br/>
      </w:r>
      <w:r>
        <w:t xml:space="preserve">Les deux écritures sont au même indice. La dernière écriture écrase la première.</w:t>
      </w:r>
    </w:p>
    <w:p>
      <w:pPr>
        <w:pStyle w:val="Compact"/>
        <w:numPr>
          <w:ilvl w:val="1"/>
          <w:numId w:val="1012"/>
        </w:numPr>
      </w:pPr>
      <w:r>
        <w:rPr>
          <w:rStyle w:val="VerbatimChar"/>
        </w:rPr>
        <w:t xml:space="preserve">array1</w:t>
      </w:r>
      <w:r>
        <w:t xml:space="preserve"> </w:t>
      </w:r>
      <w:r>
        <w:t xml:space="preserve">met d’abord</w:t>
      </w:r>
      <w:r>
        <w:t xml:space="preserve"> </w:t>
      </w:r>
      <m:oMath>
        <m:r>
          <m:t>b</m:t>
        </m:r>
      </m:oMath>
      <w:r>
        <w:t xml:space="preserve"> </w:t>
      </w:r>
      <w:r>
        <w:t xml:space="preserve">puis</w:t>
      </w:r>
      <w:r>
        <w:t xml:space="preserve"> </w:t>
      </w:r>
      <m:oMath>
        <m:r>
          <m:t>c</m:t>
        </m:r>
      </m:oMath>
      <w:r>
        <w:t xml:space="preserve"> </w:t>
      </w:r>
      <w:r>
        <w:t xml:space="preserve">: résultat final</w:t>
      </w:r>
      <w:r>
        <w:t xml:space="preserve"> </w:t>
      </w:r>
      <m:oMath>
        <m:r>
          <m:t>c</m:t>
        </m:r>
      </m:oMath>
      <w:r>
        <w:t xml:space="preserve"> </w:t>
      </w:r>
      <w:r>
        <w:t xml:space="preserve">à l’indice</w:t>
      </w:r>
      <w:r>
        <w:t xml:space="preserve"> </w:t>
      </w:r>
      <m:oMath>
        <m:r>
          <m:t>i</m:t>
        </m:r>
      </m:oMath>
      <w:r>
        <w:t xml:space="preserve">.</w:t>
      </w:r>
    </w:p>
    <w:p>
      <w:pPr>
        <w:pStyle w:val="Compact"/>
        <w:numPr>
          <w:ilvl w:val="1"/>
          <w:numId w:val="1012"/>
        </w:numPr>
      </w:pPr>
      <w:r>
        <w:rPr>
          <w:rStyle w:val="VerbatimChar"/>
        </w:rPr>
        <w:t xml:space="preserve">array2</w:t>
      </w:r>
      <w:r>
        <w:t xml:space="preserve"> </w:t>
      </w:r>
      <w:r>
        <w:t xml:space="preserve">met d’abord</w:t>
      </w:r>
      <w:r>
        <w:t xml:space="preserve"> </w:t>
      </w:r>
      <m:oMath>
        <m:r>
          <m:t>c</m:t>
        </m:r>
      </m:oMath>
      <w:r>
        <w:t xml:space="preserve"> </w:t>
      </w:r>
      <w:r>
        <w:t xml:space="preserve">puis</w:t>
      </w:r>
      <w:r>
        <w:t xml:space="preserve"> </w:t>
      </w:r>
      <m:oMath>
        <m:r>
          <m:t>b</m:t>
        </m:r>
      </m:oMath>
      <w:r>
        <w:t xml:space="preserve"> </w:t>
      </w:r>
      <w:r>
        <w:t xml:space="preserve">: résultat final</w:t>
      </w:r>
      <w:r>
        <w:t xml:space="preserve"> </w:t>
      </w:r>
      <m:oMath>
        <m:r>
          <m:t>b</m:t>
        </m:r>
      </m:oMath>
      <w:r>
        <w:t xml:space="preserve"> </w:t>
      </w:r>
      <w:r>
        <w:t xml:space="preserve">à l’indice</w:t>
      </w:r>
      <w:r>
        <w:t xml:space="preserve"> </w:t>
      </w:r>
      <m:oMath>
        <m:r>
          <m:t>i</m:t>
        </m:r>
      </m:oMath>
      <w:r>
        <w:t xml:space="preserve">.</w:t>
      </w:r>
    </w:p>
    <w:p>
      <w:pPr>
        <w:numPr>
          <w:ilvl w:val="0"/>
          <w:numId w:val="1000"/>
        </w:numPr>
      </w:pPr>
      <w:r>
        <w:t xml:space="preserve">Pour l’égalité, il faut</w:t>
      </w:r>
      <w:r>
        <w:t xml:space="preserve"> </w:t>
      </w:r>
      <m:oMath>
        <m:r>
          <m:t>b</m:t>
        </m:r>
        <m:r>
          <m:rPr>
            <m:sty m:val="p"/>
          </m:rPr>
          <m:t>=</m:t>
        </m:r>
        <m:r>
          <m:t>c</m:t>
        </m:r>
      </m:oMath>
      <w:r>
        <w:t xml:space="preserve">.</w:t>
      </w:r>
    </w:p>
    <w:p>
      <w:pPr>
        <w:numPr>
          <w:ilvl w:val="0"/>
          <w:numId w:val="1011"/>
        </w:numPr>
      </w:pPr>
      <w:r>
        <w:rPr>
          <w:b/>
          <w:bCs/>
        </w:rPr>
        <w:t xml:space="preserve">Condition logique</w:t>
      </w:r>
      <w:r>
        <w:t xml:space="preserve"> </w:t>
      </w:r>
      <w:r>
        <w:t xml:space="preserve">:</w:t>
      </w:r>
      <w:r>
        <w:br/>
      </w:r>
      <w:r>
        <w:t xml:space="preserve">La condition d’équivalence est donc :</w:t>
      </w:r>
    </w:p>
    <w:p>
      <w:pPr>
        <w:pStyle w:val="BodyText"/>
      </w:pPr>
      <m:oMathPara>
        <m:oMathParaPr>
          <m:jc m:val="center"/>
        </m:oMathParaPr>
        <m:oMath>
          <m:d>
            <m:dPr>
              <m:begChr m:val="("/>
              <m:sepChr m:val=""/>
              <m:endChr m:val=")"/>
              <m:grow/>
            </m:dPr>
            <m:e>
              <m:r>
                <m:t>i</m:t>
              </m:r>
              <m:r>
                <m:rPr>
                  <m:sty m:val="p"/>
                </m:rPr>
                <m:t>≠</m:t>
              </m:r>
              <m:r>
                <m:t>j</m:t>
              </m:r>
            </m:e>
          </m:d>
          <m:r>
            <m:rPr>
              <m:sty m:val="p"/>
            </m:rPr>
            <m:t>∨</m:t>
          </m:r>
          <m:d>
            <m:dPr>
              <m:begChr m:val="("/>
              <m:sepChr m:val=""/>
              <m:endChr m:val=")"/>
              <m:grow/>
            </m:dPr>
            <m:e>
              <m:r>
                <m:t>i</m:t>
              </m:r>
              <m:r>
                <m:rPr>
                  <m:sty m:val="p"/>
                </m:rPr>
                <m:t>=</m:t>
              </m:r>
              <m:r>
                <m:t>j</m:t>
              </m:r>
              <m:r>
                <m:rPr>
                  <m:sty m:val="p"/>
                </m:rPr>
                <m:t>∧</m:t>
              </m:r>
              <m:r>
                <m:t>b</m:t>
              </m:r>
              <m:r>
                <m:rPr>
                  <m:sty m:val="p"/>
                </m:rPr>
                <m:t>=</m:t>
              </m:r>
              <m:r>
                <m:t>c</m:t>
              </m:r>
            </m:e>
          </m:d>
        </m:oMath>
      </m:oMathPara>
    </w:p>
    <w:p>
      <w:pPr>
        <w:numPr>
          <w:ilvl w:val="0"/>
          <w:numId w:val="1000"/>
        </w:numPr>
      </w:pPr>
      <w:r>
        <w:t xml:space="preserve">Ce qui peut s’écrire en FOL avec la théorie des tableaux et l’égalité.</w:t>
      </w:r>
    </w:p>
    <w:p>
      <w:pPr>
        <w:numPr>
          <w:ilvl w:val="0"/>
          <w:numId w:val="1011"/>
        </w:numPr>
      </w:pPr>
      <w:r>
        <w:rPr>
          <w:b/>
          <w:bCs/>
        </w:rPr>
        <w:t xml:space="preserve">Vérification Why3</w:t>
      </w:r>
      <w:r>
        <w:t xml:space="preserve"> </w:t>
      </w:r>
      <w:r>
        <w:t xml:space="preserve">:</w:t>
      </w:r>
      <w:r>
        <w:br/>
      </w:r>
      <w:r>
        <w:t xml:space="preserve">On peut encoder cette condition comme une précondition dans Why3 pour vérifier que les deux tableaux sont égaux. Si la condition est respectée, le vérificateur affichera</w:t>
      </w:r>
      <w:r>
        <w:t xml:space="preserve"> </w:t>
      </w:r>
      <w:r>
        <w:t xml:space="preserve">“green V”</w:t>
      </w:r>
      <w:r>
        <w:t xml:space="preserve">.</w:t>
      </w:r>
    </w:p>
    <w:bookmarkEnd w:id="29"/>
    <w:bookmarkEnd w:id="30"/>
    <w:bookmarkStart w:id="31" w:name="synthèse"/>
    <w:p>
      <w:pPr>
        <w:pStyle w:val="Heading2"/>
      </w:pPr>
      <w:r>
        <w:t xml:space="preserve">Synthèse</w:t>
      </w:r>
    </w:p>
    <w:p>
      <w:pPr>
        <w:pStyle w:val="FirstParagraph"/>
      </w:pPr>
      <w:r>
        <w:t xml:space="preserve">Cette série illustre l’utilisation combinée de méthodes de satisfaction logique (DPLL) avec des théories du premier ordre (entiers, EUF, tableaux) pour modéliser et vérifier des propriétés de programmes. La clé est de séparer la partie propositionnelle de la partie théorie, et d’utiliser des solveurs spécialisés pour chaque théorie. La formalisation en logique du premier ordre et l’utilisation d’outils comme Why3 permettent d’automatiser la vérification de conditions d’équivalence ou de validité.</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2026-01-29T16:33:01Z</dcterms:created>
  <dcterms:modified xsi:type="dcterms:W3CDTF">2026-01-29T16:33:01Z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