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série-10-interprétation-abstraite-iiiii"/>
    <w:p>
      <w:pPr>
        <w:pStyle w:val="Heading1"/>
      </w:pPr>
      <w:r>
        <w:t xml:space="preserve">Série 10 : Interprétation Abstraite II/III</w:t>
      </w:r>
    </w:p>
    <w:bookmarkStart w:id="24" w:name="méthodes"/>
    <w:p>
      <w:pPr>
        <w:pStyle w:val="Heading2"/>
      </w:pPr>
      <w:r>
        <w:t xml:space="preserve">Méthodes</w:t>
      </w:r>
    </w:p>
    <w:bookmarkStart w:id="20" w:name="analyse-des-structures-dordre"/>
    <w:p>
      <w:pPr>
        <w:pStyle w:val="Heading3"/>
      </w:pPr>
      <w:r>
        <w:t xml:space="preserve">Analyse des structures d’ordre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Vérification des propriétés de treillis</w:t>
      </w:r>
      <w:r>
        <w:t xml:space="preserve"> </w:t>
      </w:r>
      <w:r>
        <w:t xml:space="preserve">: Déterminer si un poset donné est un treillis, un treillis complet, ou un treillis semi-complet en vérifiant l’existence d’infimum et de supremum pour toute paire (treillis) et pour tout sous-ensemble (complet).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Construction d’ordre sur des domaines abstraits</w:t>
      </w:r>
      <w:r>
        <w:t xml:space="preserve"> </w:t>
      </w:r>
      <w:r>
        <w:t xml:space="preserve">: Définir un ordre qui capture la notion de « précision » entre éléments abstraits (ex. : inclusion pour les intervalles).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Produit cartésien de treillis</w:t>
      </w:r>
      <w:r>
        <w:t xml:space="preserve"> </w:t>
      </w:r>
      <w:r>
        <w:t xml:space="preserve">: Montrer que le produit de deux treillis complets, muni de l’ordre produit, est lui-même un treillis complet.</w:t>
      </w:r>
    </w:p>
    <w:bookmarkEnd w:id="20"/>
    <w:bookmarkStart w:id="21" w:name="analyse-des-fonctions-sur-des-treillis"/>
    <w:p>
      <w:pPr>
        <w:pStyle w:val="Heading3"/>
      </w:pPr>
      <w:r>
        <w:t xml:space="preserve">Analyse des fonctions sur des treillis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Monotonie et continuité de Scott</w:t>
      </w:r>
      <w:r>
        <w:t xml:space="preserve"> </w:t>
      </w:r>
      <w:r>
        <w:t xml:space="preserve">: Prouver qu’une fonction est monotone et/ou Scott-continue. La continuité de Scott garantit la préservation des suprémums de chaînes croissantes.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Composition de fonctions continues</w:t>
      </w:r>
      <w:r>
        <w:t xml:space="preserve"> </w:t>
      </w:r>
      <w:r>
        <w:t xml:space="preserve">: Montrer que la composée de deux fonctions Scott-continues est Scott-continue.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 de points fixes</w:t>
      </w:r>
      <w:r>
        <w:t xml:space="preserve"> </w:t>
      </w:r>
      <w:r>
        <w:t xml:space="preserve">: Appliquer le théorème de Kleene pour calculer le point fixe le plus bas (lfp) d’une fonction continue, souvent via l’itération à partir de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Comparaison de points fixes</w:t>
      </w:r>
      <w:r>
        <w:t xml:space="preserve"> </w:t>
      </w:r>
      <w:r>
        <w:t xml:space="preserve">: Si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</m:oMath>
      <w:r>
        <w:t xml:space="preserve">, alors</w:t>
      </w:r>
      <w:r>
        <w:t xml:space="preserve"> </w:t>
      </w:r>
      <m:oMath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</m:oMath>
      <w:r>
        <w:t xml:space="preserve">.</w:t>
      </w:r>
    </w:p>
    <w:bookmarkEnd w:id="21"/>
    <w:bookmarkStart w:id="22" w:name="connexions-de-galois-galois-connections"/>
    <w:p>
      <w:pPr>
        <w:pStyle w:val="Heading3"/>
      </w:pPr>
      <w:r>
        <w:t xml:space="preserve">Connexions de Galois (Galois Connections)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Définition des fonctions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(abstraction) et</w:t>
      </w:r>
      <w:r>
        <w:rPr>
          <w:b/>
          <w:bCs/>
        </w:rPr>
        <w:t xml:space="preserve"> </w:t>
      </w:r>
      <m:oMath>
        <m:r>
          <m:t>γ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(concrétisation)</w:t>
      </w:r>
      <w:r>
        <w:t xml:space="preserve"> </w:t>
      </w:r>
      <w:r>
        <w:t xml:space="preserve">entre un domaine concret et un domaine abstrait.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Preuve des propriétés fondamentales</w:t>
      </w:r>
      <w:r>
        <w:t xml:space="preserve"> </w:t>
      </w:r>
      <w:r>
        <w:t xml:space="preserve">: Vérifier que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 </w:t>
      </w:r>
      <w:r>
        <w:t xml:space="preserve">forment bien une connexion de Galois, i.e.,</w:t>
      </w:r>
      <w:r>
        <w:t xml:space="preserve"> </w:t>
      </w:r>
      <m:oMath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⊆</m:t>
        </m:r>
        <m:r>
          <m:t>i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Propriétés dérivées</w:t>
      </w:r>
      <w:r>
        <w:t xml:space="preserve"> </w:t>
      </w:r>
      <w:r>
        <w:t xml:space="preserve">: Montrer que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sont monotones, que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et que</w:t>
      </w:r>
      <w:r>
        <w:t xml:space="preserve"> </w:t>
      </w:r>
      <m:oMath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r>
          <m:t>y</m:t>
        </m:r>
      </m:oMath>
      <w:r>
        <w:t xml:space="preserve">.</w:t>
      </w:r>
    </w:p>
    <w:bookmarkEnd w:id="22"/>
    <w:bookmarkStart w:id="23" w:name="interprétation-abstraite-de-programmes"/>
    <w:p>
      <w:pPr>
        <w:pStyle w:val="Heading3"/>
      </w:pPr>
      <w:r>
        <w:t xml:space="preserve">Interprétation abstraite de programmes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Construction du système d’équations</w:t>
      </w:r>
      <w:r>
        <w:t xml:space="preserve"> </w:t>
      </w:r>
      <w:r>
        <w:t xml:space="preserve">: À partir d’un CFG (Control Flow Graph), écrire les équations de point fixe pour chaque point de programme.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Résolution itérative</w:t>
      </w:r>
      <w:r>
        <w:t xml:space="preserve"> </w:t>
      </w:r>
      <w:r>
        <w:t xml:space="preserve">: Appliquer l’itération de Kleene sur un domaine abstrait (ex. : treillis des signes, des intervalles) jusqu’à convergence.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Traitement des conditions</w:t>
      </w:r>
      <w:r>
        <w:t xml:space="preserve"> </w:t>
      </w:r>
      <w:r>
        <w:t xml:space="preserve">: Définir l’opérateur de</w:t>
      </w:r>
      <w:r>
        <w:t xml:space="preserve"> </w:t>
      </w:r>
      <w:r>
        <w:t xml:space="preserve">“filtrage”</w:t>
      </w:r>
      <w:r>
        <w:t xml:space="preserve"> </w:t>
      </w:r>
      <w:r>
        <w:t xml:space="preserve">(</w:t>
      </w:r>
      <m:oMath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d</m:t>
            </m:r>
            <m:r>
              <m:t>i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e>
        </m:d>
      </m:oMath>
      <w:r>
        <w:t xml:space="preserve">) pour raffiner l’information à une garde (ex. :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t xml:space="preserve">dans le domaine des intervalles).</w:t>
      </w:r>
    </w:p>
    <w:bookmarkEnd w:id="23"/>
    <w:bookmarkEnd w:id="24"/>
    <w:bookmarkStart w:id="25" w:name="rappel"/>
    <w:p>
      <w:pPr>
        <w:pStyle w:val="Heading2"/>
      </w:pPr>
      <w:r>
        <w:t xml:space="preserve">Rappel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Treillis complet</w:t>
      </w:r>
      <w:r>
        <w:t xml:space="preserve"> </w:t>
      </w:r>
      <w:r>
        <w:t xml:space="preserve">: Tout sous-ensemble a un infimum et un supremum.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Continuité de Scott</w:t>
      </w:r>
      <w:r>
        <w:t xml:space="preserve"> </w:t>
      </w:r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sup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pour toute chaîne croissante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Théorème de Kleene</w:t>
      </w:r>
      <w:r>
        <w:t xml:space="preserve"> </w:t>
      </w:r>
      <w:r>
        <w:t xml:space="preserve">: Dans un treillis complet, une fonction Scott-continue a un plus petit point fixe donné par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n</m:t>
            </m:r>
            <m:r>
              <m:rPr>
                <m:sty m:val="p"/>
              </m:rPr>
              <m:t>≥</m:t>
            </m:r>
            <m:r>
              <m:t>0</m:t>
            </m:r>
          </m:sub>
        </m:sSub>
        <m:sSup>
          <m:e>
            <m:r>
              <m:t>f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⟂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Connexion de Galois</w:t>
      </w:r>
      <w:r>
        <w:t xml:space="preserve"> </w:t>
      </w:r>
      <w:r>
        <w:t xml:space="preserve">: Paire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:</m:t>
            </m:r>
            <m:r>
              <m:rPr>
                <m:sty m:val="p"/>
                <m:scr m:val="script"/>
              </m:rPr>
              <m:t>C</m:t>
            </m:r>
            <m:r>
              <m:rPr>
                <m:sty m:val="p"/>
              </m:rPr>
              <m:t>→</m:t>
            </m:r>
            <m:r>
              <m:rPr>
                <m:sty m:val="p"/>
                <m:scr m:val="script"/>
              </m:rPr>
              <m:t>A</m:t>
            </m:r>
            <m:r>
              <m:rPr>
                <m:sty m:val="p"/>
              </m:rPr>
              <m:t>,</m:t>
            </m:r>
            <m:r>
              <m:t>γ</m:t>
            </m:r>
            <m:r>
              <m:rPr>
                <m:sty m:val="p"/>
              </m:rPr>
              <m:t>:</m:t>
            </m:r>
            <m:r>
              <m:rPr>
                <m:sty m:val="p"/>
                <m:scr m:val="script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  <m:scr m:val="script"/>
              </m:rPr>
              <m:t>C</m:t>
            </m:r>
          </m:e>
        </m:d>
      </m:oMath>
      <w:r>
        <w:t xml:space="preserve"> </w:t>
      </w:r>
      <w:r>
        <w:t xml:space="preserve">vérifiant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script"/>
          </m:rP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  <m:scr m:val="script"/>
          </m:rPr>
          <m:t>A</m:t>
        </m:r>
        <m:r>
          <m:rPr>
            <m:sty m:val="p"/>
          </m:rPr>
          <m:t>,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⊆</m:t>
        </m:r>
        <m:r>
          <m:t>i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Ordre produit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d</m:t>
        </m:r>
      </m:oMath>
      <w:r>
        <w:t xml:space="preserve">. Infimum et supremum se calculent composante par composante.</w:t>
      </w:r>
    </w:p>
    <w:bookmarkEnd w:id="25"/>
    <w:bookmarkStart w:id="34" w:name="exemples-illustratifs"/>
    <w:p>
      <w:pPr>
        <w:pStyle w:val="Heading2"/>
      </w:pPr>
      <w:r>
        <w:t xml:space="preserve">Exemples Illustratifs</w:t>
      </w:r>
    </w:p>
    <w:bookmarkStart w:id="26" w:name="X0d75d679e88d4cf758d0ef0cecd3e700024658e"/>
    <w:p>
      <w:pPr>
        <w:pStyle w:val="Heading3"/>
      </w:pPr>
      <w:r>
        <w:t xml:space="preserve">Exemple 1 : Vérification qu’un poset est un treillis complet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L’exercice demande 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est un treillis (complet).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06"/>
        </w:numPr>
      </w:pPr>
      <w:r>
        <w:t xml:space="preserve">C’est un treillis car pour toute paire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existent dans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Il n’est</w:t>
      </w:r>
      <w:r>
        <w:t xml:space="preserve"> </w:t>
      </w:r>
      <w:r>
        <w:rPr>
          <w:b/>
          <w:bCs/>
        </w:rPr>
        <w:t xml:space="preserve">pas complet</w:t>
      </w:r>
      <w:r>
        <w:t xml:space="preserve"> </w:t>
      </w:r>
      <w:r>
        <w:t xml:space="preserve">car le sous-ensemble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n’a pas de supremum dans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N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C’est un</w:t>
      </w:r>
      <w:r>
        <w:t xml:space="preserve"> </w:t>
      </w:r>
      <w:r>
        <w:rPr>
          <w:b/>
          <w:bCs/>
        </w:rPr>
        <w:t xml:space="preserve">treillis semi-complet</w:t>
      </w:r>
      <w:r>
        <w:t xml:space="preserve"> </w:t>
      </w:r>
      <w:r>
        <w:t xml:space="preserve">car tout sous-ensemble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a un infimum (son minimum).</w:t>
      </w:r>
    </w:p>
    <w:p>
      <w:pPr>
        <w:pStyle w:val="Compact"/>
        <w:numPr>
          <w:ilvl w:val="0"/>
          <w:numId w:val="1006"/>
        </w:numPr>
      </w:pPr>
      <w:r>
        <w:t xml:space="preserve">En revanche,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est un treillis complet.</w:t>
      </w:r>
    </w:p>
    <w:bookmarkEnd w:id="26"/>
    <w:bookmarkStart w:id="27" w:name="Xfa89599067de80a8bfe62b7a9e25837f143544a"/>
    <w:p>
      <w:pPr>
        <w:pStyle w:val="Heading3"/>
      </w:pPr>
      <w:r>
        <w:t xml:space="preserve">Exemple 2 : Définition d’un ordre et calcul d’inf/sup sur le domaine des intervalles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Pour l’ensemble d’intervalles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 définir un ordre représentant la perte de précision.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07"/>
        </w:numPr>
      </w:pPr>
      <w:r>
        <w:t xml:space="preserve">On définit l’ordre par la</w:t>
      </w:r>
      <w:r>
        <w:t xml:space="preserve"> </w:t>
      </w:r>
      <w:r>
        <w:rPr>
          <w:b/>
          <w:bCs/>
        </w:rPr>
        <w:t xml:space="preserve">contre-inclusion</w:t>
      </w:r>
      <w:r>
        <w:t xml:space="preserve"> </w:t>
      </w:r>
      <w:r>
        <w:t xml:space="preserve">des ensembles de valeurs 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⊇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  <m:r>
              <m:rPr>
                <m:sty m:val="p"/>
              </m:rPr>
              <m:t>≤</m:t>
            </m:r>
            <m:r>
              <m:t>d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L’infimum correspond à l’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des ensembles de valeurs 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(ce qui donne l’intervalle le plus petit contenu dans les deux).</w:t>
      </w:r>
    </w:p>
    <w:p>
      <w:pPr>
        <w:pStyle w:val="Compact"/>
        <w:numPr>
          <w:ilvl w:val="0"/>
          <w:numId w:val="1007"/>
        </w:numPr>
      </w:pPr>
      <w:r>
        <w:t xml:space="preserve">Le supremum correspond à l’</w:t>
      </w:r>
      <w:r>
        <w:rPr>
          <w:b/>
          <w:bCs/>
        </w:rPr>
        <w:t xml:space="preserve">union</w:t>
      </w:r>
      <w:r>
        <w:t xml:space="preserve"> </w:t>
      </w:r>
      <w:r>
        <w:t xml:space="preserve">(la plus petite sur-approximation) 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7"/>
        </w:numPr>
      </w:pPr>
      <w:r>
        <w:t xml:space="preserve">On prouve que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est un treillis complet en utilisant cette correspondance avec l’inclusion d’ensembles.</w:t>
      </w:r>
    </w:p>
    <w:bookmarkEnd w:id="27"/>
    <w:bookmarkStart w:id="28" w:name="X0107491dc8667db6856ecd9b9475d36c75b3086"/>
    <w:p>
      <w:pPr>
        <w:pStyle w:val="Heading3"/>
      </w:pPr>
      <w:r>
        <w:t xml:space="preserve">Exemple 3 : Preuve qu’une fonction Scott-continue est monotone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Soit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Scott-continue, avec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des treillis complets.</w:t>
      </w:r>
    </w:p>
    <w:p>
      <w:pPr>
        <w:pStyle w:val="BodyText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Soit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E</m:t>
        </m:r>
      </m:oMath>
      <w:r>
        <w:t xml:space="preserve"> </w:t>
      </w:r>
      <w:r>
        <w:t xml:space="preserve">tels que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Construire la chaîne croissante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et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 construction,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 continuité de Scott 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sup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 particulier,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Donc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ce qui prouve la monotonie.</w:t>
      </w:r>
    </w:p>
    <w:bookmarkEnd w:id="28"/>
    <w:bookmarkStart w:id="29" w:name="X1a455004868a2162ba00f565fd6dc38f45a1dc3"/>
    <w:p>
      <w:pPr>
        <w:pStyle w:val="Heading3"/>
      </w:pPr>
      <w:r>
        <w:t xml:space="preserve">Exemple 4 : Construction d’une Connexion de Galois entre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Définir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entre l’ensemble des parties de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(concret) et le treillis des intervalles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(abstrait).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Fonction d’abstraction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double-struck"/>
                </m:rPr>
                <m:t>Z</m:t>
              </m:r>
            </m:e>
          </m:d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I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inf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sup</m:t>
              </m:r>
              <m:r>
                <m:t>X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(avec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par convention).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Fonction de concrétisation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I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double-struck"/>
                </m:rPr>
                <m:t>Z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Preuve de la connexion</w:t>
      </w:r>
      <w:r>
        <w:t xml:space="preserve"> </w:t>
      </w:r>
      <w:r>
        <w:t xml:space="preserve">: Il faut montrer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⊆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⊆</m:t>
          </m:r>
          <m:r>
            <m:rPr>
              <m:sty m:val="p"/>
              <m:scr m:val="script"/>
            </m:rPr>
            <m:t>I</m:t>
          </m:r>
          <m:r>
            <m:t>i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⊆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</m:e>
          </m:d>
        </m:oMath>
      </m:oMathPara>
    </w:p>
    <w:p>
      <w:pPr>
        <w:pStyle w:val="Compact"/>
        <w:numPr>
          <w:ilvl w:val="1"/>
          <w:numId w:val="1010"/>
        </w:numPr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Si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inf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sup</m:t>
            </m:r>
            <m:r>
              <m:t>X</m:t>
            </m:r>
          </m:e>
        </m:d>
        <m:r>
          <m:rPr>
            <m:sty m:val="p"/>
          </m:rPr>
          <m:t>⊆</m:t>
        </m:r>
        <m:r>
          <m:t>i</m:t>
        </m:r>
      </m:oMath>
      <w:r>
        <w:t xml:space="preserve">, alors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vérifie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 Si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, alors</w:t>
      </w:r>
      <w:r>
        <w:t xml:space="preserve"> </w:t>
      </w:r>
      <m:oMath>
        <m:r>
          <m:rPr>
            <m:sty m:val="p"/>
          </m:rPr>
          <m:t>inf</m:t>
        </m:r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sup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, donc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inf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sup</m:t>
            </m:r>
            <m:r>
              <m:t>X</m:t>
            </m:r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i</m:t>
        </m:r>
      </m:oMath>
      <w:r>
        <w:t xml:space="preserve">.</w:t>
      </w:r>
    </w:p>
    <w:bookmarkEnd w:id="29"/>
    <w:bookmarkStart w:id="33" w:name="X645e8335f021e8441ec604083ac457ed079f585"/>
    <w:p>
      <w:pPr>
        <w:pStyle w:val="Heading3"/>
      </w:pPr>
      <w:r>
        <w:t xml:space="preserve">Exemple 5 : Analyse de programme avec le treillis des intervalles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Analyser le programme suivant avec le domaine des intervalles :</w:t>
      </w:r>
    </w:p>
    <w:p>
      <w:pPr>
        <w:pStyle w:val="SourceCode"/>
      </w:pPr>
      <w:r>
        <w:rPr>
          <w:rStyle w:val="VerbatimChar"/>
        </w:rPr>
        <w:t xml:space="preserve">y := 3; x := 4;</w:t>
      </w:r>
      <w:r>
        <w:br/>
      </w:r>
      <w:r>
        <w:rPr>
          <w:rStyle w:val="VerbatimChar"/>
        </w:rPr>
        <w:t xml:space="preserve">while (x &gt;= y) do x := x - 4; done;</w:t>
      </w:r>
    </w:p>
    <w:p>
      <w:pPr>
        <w:pStyle w:val="FirstParagraph"/>
      </w:pPr>
      <w:r>
        <w:rPr>
          <w:b/>
          <w:bCs/>
        </w:rPr>
        <w:t xml:space="preserve">Application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CFG et équations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Entrée 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⊤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⊤</m:t>
            </m:r>
          </m:e>
        </m:d>
      </m:oMath>
    </w:p>
    <w:p>
      <w:pPr>
        <w:pStyle w:val="Compact"/>
        <w:numPr>
          <w:ilvl w:val="1"/>
          <w:numId w:val="1012"/>
        </w:numPr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  <w:r>
        <w:t xml:space="preserve"> </w:t>
      </w:r>
      <w:r>
        <w:t xml:space="preserve">après les affectations.</w:t>
      </w:r>
    </w:p>
    <w:p>
      <w:pPr>
        <w:pStyle w:val="Compact"/>
        <w:numPr>
          <w:ilvl w:val="1"/>
          <w:numId w:val="1012"/>
        </w:numPr>
      </w:pPr>
      <w:r>
        <w:t xml:space="preserve">Boucle (point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) 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où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la fonction de transfert du corps.</w:t>
      </w:r>
    </w:p>
    <w:p>
      <w:pPr>
        <w:pStyle w:val="Compact"/>
        <w:numPr>
          <w:ilvl w:val="1"/>
          <w:numId w:val="1012"/>
        </w:numPr>
      </w:pPr>
      <w:r>
        <w:t xml:space="preserve">Corps de boucle 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Itération de Kleene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>
          <m:rPr>
            <m:sty m:val="p"/>
          </m:rPr>
          <m:t>⟂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⊥</m:t>
            </m:r>
          </m:e>
        </m:d>
      </m:oMath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⟂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</w:p>
    <w:p>
      <w:pPr>
        <w:pStyle w:val="Compact"/>
        <w:numPr>
          <w:ilvl w:val="1"/>
          <w:numId w:val="1013"/>
        </w:numPr>
      </w:pPr>
      <w:r>
        <w:t xml:space="preserve">Calcul de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v</m:t>
                </m:r>
              </m:e>
              <m:sub>
                <m:r>
                  <m:t>2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</m:sup>
            </m:sSubSup>
          </m:e>
        </m:d>
      </m:oMath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  <w:r>
        <w:t xml:space="preserve">. La condition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t xml:space="preserve">devient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≥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qui est faux, donc le résultat est</w:t>
      </w:r>
      <w:r>
        <w:t xml:space="preserve"> </w:t>
      </w:r>
      <m:oMath>
        <m:r>
          <m:rPr>
            <m:sty m:val="p"/>
          </m:rPr>
          <m:t>⊥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rPr>
            <m:sty m:val="p"/>
          </m:rPr>
          <m:t>⊥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. Point fixe atteint.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 À la sortie de la boucle,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 La boucle ne s’exécute pas.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91_files\figure-docx\dot-figure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3"/>
    <w:bookmarkEnd w:id="34"/>
    <w:bookmarkStart w:id="35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Cette série met en lumière les fondements mathématiques de l’interprétation abstraite : les</w:t>
      </w:r>
      <w:r>
        <w:t xml:space="preserve"> </w:t>
      </w:r>
      <w:r>
        <w:rPr>
          <w:b/>
          <w:bCs/>
        </w:rPr>
        <w:t xml:space="preserve">treillis complets</w:t>
      </w:r>
      <w:r>
        <w:t xml:space="preserve"> </w:t>
      </w:r>
      <w:r>
        <w:t xml:space="preserve">servent de domaine de calcul, la</w:t>
      </w:r>
      <w:r>
        <w:t xml:space="preserve"> </w:t>
      </w:r>
      <w:r>
        <w:rPr>
          <w:b/>
          <w:bCs/>
        </w:rPr>
        <w:t xml:space="preserve">continuité de Scott</w:t>
      </w:r>
      <w:r>
        <w:t xml:space="preserve"> </w:t>
      </w:r>
      <w:r>
        <w:t xml:space="preserve">assure la convergence des itérations, et les</w:t>
      </w:r>
      <w:r>
        <w:t xml:space="preserve"> </w:t>
      </w:r>
      <w:r>
        <w:rPr>
          <w:b/>
          <w:bCs/>
        </w:rPr>
        <w:t xml:space="preserve">connexions de Galois</w:t>
      </w:r>
      <w:r>
        <w:t xml:space="preserve"> </w:t>
      </w:r>
      <w:r>
        <w:t xml:space="preserve">garantissent la correction de l’abstraction.</w:t>
      </w:r>
    </w:p>
    <w:p>
      <w:pPr>
        <w:pStyle w:val="BodyText"/>
      </w:pPr>
      <w:r>
        <w:t xml:space="preserve">La méthode centrale combine la modélisation d’un programme par un</w:t>
      </w:r>
      <w:r>
        <w:t xml:space="preserve"> </w:t>
      </w:r>
      <w:r>
        <w:rPr>
          <w:b/>
          <w:bCs/>
        </w:rPr>
        <w:t xml:space="preserve">système d’équations de point fixe</w:t>
      </w:r>
      <w:r>
        <w:t xml:space="preserve"> </w:t>
      </w:r>
      <w:r>
        <w:t xml:space="preserve">et sa résolution itérative sur un domaine abstrait (signes, intervalles).</w:t>
      </w:r>
    </w:p>
    <w:p>
      <w:pPr>
        <w:pStyle w:val="BodyText"/>
      </w:pPr>
      <w:r>
        <w:t xml:space="preserve">Ces techniques permettent d’inférer automatiquement des propriétés sur les programmes (bornes de variables, signes) sans les exécuter.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2026-01-29T16:33:45Z</dcterms:created>
  <dcterms:modified xsi:type="dcterms:W3CDTF">2026-01-29T16:33:45Z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