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Etika Profesi</w:t>
            </w:r>
          </w:p>
        </w:tc>
        <w:tc>
          <w:tcPr>
            <w:tcW w:w="2445" w:type="dxa"/>
            <w:gridSpan w:val="2"/>
          </w:tcPr>
          <w:p>
            <w:pPr>
              <w:spacing w:before="0" w:after="0" w:line="240" w:lineRule="auto"/>
              <w:jc w:val="center"/>
            </w:pPr>
            <w:r>
              <w:rPr>
                <w:rFonts w:ascii="Calibri" w:hAnsi="Calibri" w:cs="Calibri"/>
                <w:sz w:val="22"/>
                <w:szCs w:val="22"/>
                <w:lang w:val="id-ID"/>
              </w:rPr>
              <w:t xml:space="preserve">IF260724</w:t>
            </w:r>
          </w:p>
        </w:tc>
        <w:tc>
          <w:tcPr>
            <w:tcW w:w="2976" w:type="dxa"/>
            <w:gridSpan w:val="6"/>
          </w:tcPr>
          <w:p>
            <w:pPr>
              <w:spacing w:before="0" w:after="0" w:line="240" w:lineRule="auto"/>
            </w:pPr>
            <w:r>
              <w:rPr>
                <w:rFonts w:ascii="Calibri" w:hAnsi="Calibri" w:cs="Calibri"/>
                <w:sz w:val="22"/>
                <w:szCs w:val="22"/>
                <w:lang w:val="id-ID"/>
              </w:rPr>
              <w:t xml:space="preserve">Hukum &amp; Etika TI (MK Kompetensi Utama)</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CPL01</w:t>
            </w:r>
          </w:p>
        </w:tc>
        <w:tc>
          <w:tcPr>
            <w:tcW w:w="11913" w:type="dxa"/>
            <w:gridSpan w:val="14"/>
          </w:tcPr>
          <w:p>
            <w:pPr>
              <w:spacing w:before="0" w:after="0" w:line="240" w:lineRule="auto"/>
            </w:pPr>
            <w:r>
              <w:rPr>
                <w:rFonts w:ascii="Calibri" w:hAnsi="Calibri" w:cs="Calibri"/>
                <w:sz w:val="22"/>
                <w:szCs w:val="22"/>
                <w:lang w:val="id-ID"/>
              </w:rPr>
              <w:t xml:space="preserve">Bertakwa (A5) kepada Tuhan Yang Maha Esa, taat terhadap hukum, dan disiplin dalam kehidupan bermasyarakat dan bernegara.</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(A2) dan respon (A2) terhadap etika profesi, isu sosial serta perkembangan teknologi, kemampuan bekerja sama (A3) dalam tim multidisiplin, dan pemahaman (C2) tentang pembelajaran sepanjang hayat.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CPMK0106</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menunjukkan</w:t>
            </w:r>
            <w:r>
              <w:rPr>
                <w:rFonts w:ascii="Calibri" w:hAnsi="Calibri" w:cs="Calibri"/>
                <w:sz w:val="22"/>
                <w:szCs w:val="22"/>
                <w:lang w:val="id-ID"/>
              </w:rPr>
              <w:t xml:space="preserve"> kepatuhan terhadap hukum dan kebijakan TI (UU ITE, UU PDP, HKI) [A2]. — Kontribusi 30% terhadap CPL01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CPMK0207</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menerapkan</w:t>
            </w:r>
            <w:r>
              <w:rPr>
                <w:rFonts w:ascii="Calibri" w:hAnsi="Calibri" w:cs="Calibri"/>
                <w:sz w:val="22"/>
                <w:szCs w:val="22"/>
                <w:lang w:val="id-ID"/>
              </w:rPr>
              <w:t xml:space="preserve"> kode etik profesi dalam menyikapi isu sosial dan profesional TI [C3, A2]. — Kontribusi 40% terhadap CPL02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CPMK0609</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mendiskusikan</w:t>
            </w:r>
            <w:r>
              <w:rPr>
                <w:rFonts w:ascii="Calibri" w:hAnsi="Calibri" w:cs="Calibri"/>
                <w:sz w:val="22"/>
                <w:szCs w:val="22"/>
                <w:lang w:val="id-ID"/>
              </w:rPr>
              <w:t xml:space="preserve"> dan mempresentasikan studi kasus etika profesi dalam kelompok [A3]. — Kontribusi 30% terhadap CPL06</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dasar etika, moral, hukum, serta prinsip-prinsip etika profesi TI [C2, A2] (CPMK0207)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Kode Etik Profesi Komputer (ACM, IEEE, IPKIN) dan tanggung jawab profesional [C3, A2] (CPMK0207)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aspek hukum Hak Kekayaan Intelektual (HKI: Hak Cipta, Paten, Lisensi Software) [A2, C3] (CPMK0106)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pemahaman UU ITE dan regulasi Perlindungan Data Pribadi (UU PDP) [A2, C3] (CPMK0106)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kejahatan siber (Cybercrime: Hacking, Phishing, Ransomware) dan regulasi siber [A2, C3] (CPMK0106)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isu etika TI modern (Privasi Data, Surveillance, Etika AI, Bias Algoritma) [C3, A2] (CPMK0207)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mengkaji</w:t>
            </w:r>
            <w:r>
              <w:rPr>
                <w:rFonts w:ascii="Calibri" w:hAnsi="Calibri" w:cs="Calibri"/>
                <w:sz w:val="22"/>
                <w:szCs w:val="22"/>
                <w:lang w:val="id-ID"/>
              </w:rPr>
              <w:t xml:space="preserve"> dan </w:t>
            </w:r>
            <w:r>
              <w:rPr>
                <w:rFonts w:ascii="Calibri" w:hAnsi="Calibri" w:cs="Calibri"/>
                <w:b/>
                <w:bCs/>
                <w:sz w:val="22"/>
                <w:szCs w:val="22"/>
                <w:lang w:val="id-ID"/>
              </w:rPr>
              <w:t xml:space="preserve">mendiskusikan</w:t>
            </w:r>
            <w:r>
              <w:rPr>
                <w:rFonts w:ascii="Calibri" w:hAnsi="Calibri" w:cs="Calibri"/>
                <w:sz w:val="22"/>
                <w:szCs w:val="22"/>
                <w:lang w:val="id-ID"/>
              </w:rPr>
              <w:t xml:space="preserve"> studi kasus pelanggaran etika &amp; hukum TI secara berkelompok [A3, C3] (CPMK0609)</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mempresentasikan</w:t>
            </w:r>
            <w:r>
              <w:rPr>
                <w:rFonts w:ascii="Calibri" w:hAnsi="Calibri" w:cs="Calibri"/>
                <w:sz w:val="22"/>
                <w:szCs w:val="22"/>
                <w:lang w:val="id-ID"/>
              </w:rPr>
              <w:t xml:space="preserve"> makalah studi kasus etika profesi TI dengan sikap profesional [A3, C3] (CPMK0609)</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161"/>
              <w:gridCol w:w="2161"/>
              <w:gridCol w:w="2161"/>
              <w:gridCol w:w="2161"/>
              <w:gridCol w:w="2161"/>
            </w:tblGrid>
            <w:tr>
              <w:tc>
                <w:tcPr>
                  <w:tcW w:w="2160" w:type="dxa"/>
                  <w:shd w:val="clear" w:color="auto" w:fill="D9D9D9"/>
                </w:tcPr>
                <w:p>
                  <w:pPr>
                    <w:spacing w:before="0" w:after="0" w:line="240" w:lineRule="auto"/>
                    <w:jc w:val="center"/>
                  </w:pPr>
                </w:p>
              </w:tc>
              <w:tc>
                <w:tcPr>
                  <w:tcW w:w="2161" w:type="dxa"/>
                </w:tcPr>
                <w:p>
                  <w:pPr>
                    <w:spacing w:before="0" w:after="0" w:line="240" w:lineRule="auto"/>
                    <w:jc w:val="center"/>
                  </w:pPr>
                  <w:r>
                    <w:rPr>
                      <w:rFonts w:ascii="Calibri" w:hAnsi="Calibri" w:cs="Calibri"/>
                      <w:b/>
                      <w:bCs/>
                      <w:sz w:val="22"/>
                      <w:szCs w:val="22"/>
                      <w:lang w:val="id-ID"/>
                    </w:rPr>
                    <w:t xml:space="preserve">CPL01 (%)</w:t>
                  </w:r>
                </w:p>
              </w:tc>
              <w:tc>
                <w:tcPr>
                  <w:tcW w:w="2161" w:type="dxa"/>
                </w:tcPr>
                <w:p>
                  <w:pPr>
                    <w:spacing w:before="0" w:after="0" w:line="240" w:lineRule="auto"/>
                    <w:jc w:val="center"/>
                  </w:pPr>
                  <w:r>
                    <w:rPr>
                      <w:rFonts w:ascii="Calibri" w:hAnsi="Calibri" w:cs="Calibri"/>
                      <w:b/>
                      <w:bCs/>
                      <w:sz w:val="22"/>
                      <w:szCs w:val="22"/>
                      <w:lang w:val="id-ID"/>
                    </w:rPr>
                    <w:t xml:space="preserve">CPL02 (%)</w:t>
                  </w:r>
                </w:p>
              </w:tc>
              <w:tc>
                <w:tcPr>
                  <w:tcW w:w="2161" w:type="dxa"/>
                </w:tcPr>
                <w:p>
                  <w:pPr>
                    <w:spacing w:before="0" w:after="0" w:line="240" w:lineRule="auto"/>
                    <w:jc w:val="center"/>
                  </w:pPr>
                  <w:r>
                    <w:rPr>
                      <w:rFonts w:ascii="Calibri" w:hAnsi="Calibri" w:cs="Calibri"/>
                      <w:b/>
                      <w:bCs/>
                      <w:sz w:val="22"/>
                      <w:szCs w:val="22"/>
                      <w:lang w:val="id-ID"/>
                    </w:rPr>
                    <w:t xml:space="preserve">CPL06 (%)</w:t>
                  </w:r>
                </w:p>
              </w:tc>
              <w:tc>
                <w:tcPr>
                  <w:tcW w:w="2161" w:type="dxa"/>
                </w:tcPr>
                <w:p>
                  <w:pPr>
                    <w:spacing w:before="0" w:after="0" w:line="240" w:lineRule="auto"/>
                    <w:jc w:val="center"/>
                  </w:pPr>
                  <w:r>
                    <w:rPr>
                      <w:rFonts w:ascii="Calibri" w:hAnsi="Calibri" w:cs="Calibri"/>
                      <w:b/>
                      <w:bCs/>
                      <w:sz w:val="22"/>
                      <w:szCs w:val="22"/>
                      <w:lang w:val="id-ID"/>
                    </w:rPr>
                    <w:t xml:space="preserve">Jumlah Minggu</w:t>
                  </w:r>
                </w:p>
              </w:tc>
              <w:tc>
                <w:tcPr>
                  <w:tcW w:w="216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161" w:type="dxa"/>
                </w:tcPr>
                <w:p>
                  <w:pPr>
                    <w:spacing w:before="0" w:after="0" w:line="240" w:lineRule="auto"/>
                    <w:jc w:val="center"/>
                  </w:pPr>
                  <w:r>
                    <w:rPr>
                      <w:rFonts w:ascii="Calibri" w:hAnsi="Calibri" w:cs="Calibri"/>
                      <w:b/>
                      <w:bCs/>
                      <w:sz w:val="22"/>
                      <w:szCs w:val="22"/>
                      <w:lang w:val="id-ID"/>
                    </w:rPr>
                    <w:t xml:space="preserve">30</w:t>
                  </w:r>
                </w:p>
              </w:tc>
              <w:tc>
                <w:tcPr>
                  <w:tcW w:w="2161" w:type="dxa"/>
                </w:tcPr>
                <w:p>
                  <w:pPr>
                    <w:spacing w:before="0" w:after="0" w:line="240" w:lineRule="auto"/>
                    <w:jc w:val="center"/>
                  </w:pPr>
                  <w:r>
                    <w:rPr>
                      <w:rFonts w:ascii="Calibri" w:hAnsi="Calibri" w:cs="Calibri"/>
                      <w:b/>
                      <w:bCs/>
                      <w:sz w:val="22"/>
                      <w:szCs w:val="22"/>
                      <w:lang w:val="id-ID"/>
                    </w:rPr>
                    <w:t xml:space="preserve">40</w:t>
                  </w:r>
                </w:p>
              </w:tc>
              <w:tc>
                <w:tcPr>
                  <w:tcW w:w="2161" w:type="dxa"/>
                </w:tcPr>
                <w:p>
                  <w:pPr>
                    <w:spacing w:before="0" w:after="0" w:line="240" w:lineRule="auto"/>
                    <w:jc w:val="center"/>
                  </w:pPr>
                  <w:r>
                    <w:rPr>
                      <w:rFonts w:ascii="Calibri" w:hAnsi="Calibri" w:cs="Calibri"/>
                      <w:b/>
                      <w:bCs/>
                      <w:sz w:val="22"/>
                      <w:szCs w:val="22"/>
                      <w:lang w:val="id-ID"/>
                    </w:rPr>
                    <w:t xml:space="preserve">30</w:t>
                  </w:r>
                </w:p>
              </w:tc>
              <w:tc>
                <w:tcPr>
                  <w:tcW w:w="2161" w:type="dxa"/>
                </w:tcPr>
                <w:p>
                  <w:pPr>
                    <w:spacing w:before="0" w:after="0" w:line="240" w:lineRule="auto"/>
                    <w:jc w:val="center"/>
                  </w:pPr>
                  <w:r>
                    <w:rPr>
                      <w:rFonts w:ascii="Calibri" w:hAnsi="Calibri" w:cs="Calibri"/>
                      <w:b/>
                      <w:bCs/>
                      <w:sz w:val="22"/>
                      <w:szCs w:val="22"/>
                      <w:lang w:val="id-ID"/>
                    </w:rPr>
                    <w:t xml:space="preserve">14 + 2*</w:t>
                  </w:r>
                </w:p>
              </w:tc>
              <w:tc>
                <w:tcPr>
                  <w:tcW w:w="216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Etika Profesi membahas aspek etis, moral, dan hukum dalam penggunaan teknologi informasi serta praktik profesional bidang komputer. Pokok bahasan meliputi prinsip etika profesi, Kode Etik IPKIN/ACM/IEEE, Hak Kekayaan Intelektual (HKI), UU ITE, Undang-Undang Perlindungan Data Pribadi (UU PDP), cybercrime, etika AI &amp; kejahatan siber, serta analisis studi kasus pelanggaran etika profesi.</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BK01</w:t>
            </w:r>
            <w:r>
              <w:rPr>
                <w:rFonts w:ascii="Calibri" w:hAnsi="Calibri" w:cs="Calibri"/>
                <w:sz w:val="22"/>
                <w:szCs w:val="22"/>
                <w:lang w:val="id-ID"/>
              </w:rPr>
              <w:t xml:space="preserve"> (Society, Ethics &amp; Professionalism).</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Konsep Etika &amp; Profesi:</w:t>
            </w:r>
            <w:r>
              <w:rPr>
                <w:rFonts w:ascii="Calibri" w:hAnsi="Calibri" w:cs="Calibri"/>
                <w:sz w:val="22"/>
                <w:szCs w:val="22"/>
                <w:lang w:val="id-ID"/>
              </w:rPr>
              <w:t xml:space="preserve"> Definisi etika, moral, profesi TI, dan profesionalisme.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Kode Etik Profesi TI:</w:t>
            </w:r>
            <w:r>
              <w:rPr>
                <w:rFonts w:ascii="Calibri" w:hAnsi="Calibri" w:cs="Calibri"/>
                <w:sz w:val="22"/>
                <w:szCs w:val="22"/>
                <w:lang w:val="id-ID"/>
              </w:rPr>
              <w:t xml:space="preserve"> Kode Etik IPKIN, ACM Code of Ethics, IEEE Code of Conduct.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Hak Kekayaan Intelektual (HKI):</w:t>
            </w:r>
            <w:r>
              <w:rPr>
                <w:rFonts w:ascii="Calibri" w:hAnsi="Calibri" w:cs="Calibri"/>
                <w:sz w:val="22"/>
                <w:szCs w:val="22"/>
                <w:lang w:val="id-ID"/>
              </w:rPr>
              <w:t xml:space="preserve"> UU Hak Cipta, lisensi Open Source vs Proprietary, Paten software.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Regulasi TI &amp; UU PDP:</w:t>
            </w:r>
            <w:r>
              <w:rPr>
                <w:rFonts w:ascii="Calibri" w:hAnsi="Calibri" w:cs="Calibri"/>
                <w:sz w:val="22"/>
                <w:szCs w:val="22"/>
                <w:lang w:val="id-ID"/>
              </w:rPr>
              <w:t xml:space="preserve"> UU ITE (Informasi &amp; Transaksi Elektronik), UU Perlindungan Data Pribadi.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Cybercrime &amp; Cyberlaw:</w:t>
            </w:r>
            <w:r>
              <w:rPr>
                <w:rFonts w:ascii="Calibri" w:hAnsi="Calibri" w:cs="Calibri"/>
                <w:sz w:val="22"/>
                <w:szCs w:val="22"/>
                <w:lang w:val="id-ID"/>
              </w:rPr>
              <w:t xml:space="preserve"> Jenis kejahatan siber, kejahatan lintas negara, pembuktian digital.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Isu Etika TI Modern:</w:t>
            </w:r>
            <w:r>
              <w:rPr>
                <w:rFonts w:ascii="Calibri" w:hAnsi="Calibri" w:cs="Calibri"/>
                <w:sz w:val="22"/>
                <w:szCs w:val="22"/>
                <w:lang w:val="id-ID"/>
              </w:rPr>
              <w:t xml:space="preserve"> Privasi data, surveillance, etika Artificial Intelligence &amp; rekomendasi algoritma.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Diskusi Studi Kasus Etika:</w:t>
            </w:r>
            <w:r>
              <w:rPr>
                <w:rFonts w:ascii="Calibri" w:hAnsi="Calibri" w:cs="Calibri"/>
                <w:sz w:val="22"/>
                <w:szCs w:val="22"/>
                <w:lang w:val="id-ID"/>
              </w:rPr>
              <w:t xml:space="preserve"> Elicitation kasus nyata pelanggaran etika profesi TI.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Presentasi Makalah Etika:</w:t>
            </w:r>
            <w:r>
              <w:rPr>
                <w:rFonts w:ascii="Calibri" w:hAnsi="Calibri" w:cs="Calibri"/>
                <w:sz w:val="22"/>
                <w:szCs w:val="22"/>
                <w:lang w:val="id-ID"/>
              </w:rPr>
              <w:t xml:space="preserve"> Presentasi dan pertanggungjawaban studi kasus etika.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Tavani, H. T. (2016). </w:t>
            </w:r>
            <w:r>
              <w:rPr>
                <w:rFonts w:ascii="Calibri" w:hAnsi="Calibri" w:cs="Calibri"/>
                <w:i/>
                <w:sz w:val="22"/>
                <w:szCs w:val="22"/>
                <w:lang w:val="id-ID"/>
              </w:rPr>
              <w:t xml:space="preserve">Ethics and Technology: Controversies, Questions, and Strategies for Ethical Computing</w:t>
            </w:r>
            <w:r>
              <w:rPr>
                <w:rFonts w:ascii="Calibri" w:hAnsi="Calibri" w:cs="Calibri"/>
                <w:sz w:val="22"/>
                <w:szCs w:val="22"/>
                <w:lang w:val="id-ID"/>
              </w:rPr>
              <w:t xml:space="preserve"> (5th ed.). Wiley.</w:t>
            </w:r>
          </w:p>
          <w:p>
            <w:pPr>
              <w:spacing w:before="0" w:after="0" w:line="240" w:lineRule="auto"/>
              <w:ind w:left="284" w:hanging="284"/>
            </w:pPr>
            <w:r>
              <w:rPr>
                <w:rFonts w:ascii="Calibri" w:hAnsi="Calibri" w:cs="Calibri"/>
                <w:sz w:val="22"/>
                <w:szCs w:val="22"/>
                <w:lang w:val="id-ID"/>
              </w:rPr>
              <w:t xml:space="preserve">[2] Baase, S., &amp; Henry, T. M. (2017). </w:t>
            </w:r>
            <w:r>
              <w:rPr>
                <w:rFonts w:ascii="Calibri" w:hAnsi="Calibri" w:cs="Calibri"/>
                <w:i/>
                <w:sz w:val="22"/>
                <w:szCs w:val="22"/>
                <w:lang w:val="id-ID"/>
              </w:rPr>
              <w:t xml:space="preserve">A Gift of Fire: Social, Legal, and Ethical Issues for Computing Technology</w:t>
            </w:r>
            <w:r>
              <w:rPr>
                <w:rFonts w:ascii="Calibri" w:hAnsi="Calibri" w:cs="Calibri"/>
                <w:sz w:val="22"/>
                <w:szCs w:val="22"/>
                <w:lang w:val="id-ID"/>
              </w:rPr>
              <w:t xml:space="preserve"> (5th ed.). Pearson.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Wahyono, T. (2006). </w:t>
            </w:r>
            <w:r>
              <w:rPr>
                <w:rFonts w:ascii="Calibri" w:hAnsi="Calibri" w:cs="Calibri"/>
                <w:i/>
                <w:sz w:val="22"/>
                <w:szCs w:val="22"/>
                <w:lang w:val="id-ID"/>
              </w:rPr>
              <w:t xml:space="preserve">Etika Profesi Teknologi Informasi</w:t>
            </w:r>
            <w:r>
              <w:rPr>
                <w:rFonts w:ascii="Calibri" w:hAnsi="Calibri" w:cs="Calibri"/>
                <w:sz w:val="22"/>
                <w:szCs w:val="22"/>
                <w:lang w:val="id-ID"/>
              </w:rPr>
              <w:t xml:space="preserve">. Jakarta: Elex Media Komputindo.</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Suprapto,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dasar etika, moral, hukum, serta prinsip-prinsip etika profesi TI [C2, A2] (CPMK0207)</w:t>
            </w:r>
          </w:p>
        </w:tc>
        <w:tc>
          <w:tcPr>
            <w:tcW w:w="1701" w:type="dxa"/>
            <w:gridSpan w:val="2"/>
          </w:tcPr>
          <w:p>
            <w:pPr>
              <w:spacing w:before="0" w:after="0" w:line="240" w:lineRule="auto"/>
            </w:pPr>
            <w:r>
              <w:rPr>
                <w:rFonts w:ascii="Calibri" w:hAnsi="Calibri" w:cs="Calibri"/>
                <w:sz w:val="20"/>
                <w:szCs w:val="20"/>
                <w:lang w:val="id-ID"/>
              </w:rPr>
              <w:t xml:space="preserve">1.1 Membedakan etika dan moral</w:t>
            </w:r>
          </w:p>
          <w:p>
            <w:pPr>
              <w:spacing w:before="0" w:after="0" w:line="240" w:lineRule="auto"/>
            </w:pPr>
            <w:r>
              <w:rPr>
                <w:rFonts w:ascii="Calibri" w:hAnsi="Calibri" w:cs="Calibri"/>
                <w:sz w:val="20"/>
                <w:szCs w:val="20"/>
                <w:lang w:val="id-ID"/>
              </w:rPr>
              <w:t xml:space="preserve">1.2 Menjelaskan ciri-ciri profesional TI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konsep etika</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singkat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Lecture</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konsep etika profesi TI</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Konsep Etika &amp; Profesi TI</w:t>
            </w:r>
          </w:p>
          <w:p>
            <w:pPr>
              <w:spacing w:before="0" w:after="0" w:line="240" w:lineRule="auto"/>
            </w:pPr>
            <w:r>
              <w:rPr>
                <w:rFonts w:ascii="Calibri" w:hAnsi="Calibri" w:cs="Calibri"/>
                <w:sz w:val="20"/>
                <w:szCs w:val="20"/>
                <w:lang w:val="id-ID"/>
              </w:rPr>
              <w:t xml:space="preserve">[1] Bab 1</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menganalisis Kode Etik Profesi Komputer (ACM, IEEE, IPKIN) dan tanggung jawab profesional [C3, A2] (CPMK0207)</w:t>
            </w:r>
          </w:p>
        </w:tc>
        <w:tc>
          <w:tcPr>
            <w:tcW w:w="1701" w:type="dxa"/>
            <w:gridSpan w:val="2"/>
          </w:tcPr>
          <w:p>
            <w:pPr>
              <w:spacing w:before="0" w:after="0" w:line="240" w:lineRule="auto"/>
            </w:pPr>
            <w:r>
              <w:rPr>
                <w:rFonts w:ascii="Calibri" w:hAnsi="Calibri" w:cs="Calibri"/>
                <w:sz w:val="20"/>
                <w:szCs w:val="20"/>
                <w:lang w:val="id-ID"/>
              </w:rPr>
              <w:t xml:space="preserve">2.1 Menjelaskan pasal Kode Etik IPKIN/ACM</w:t>
            </w:r>
          </w:p>
          <w:p>
            <w:pPr>
              <w:spacing w:before="0" w:after="0" w:line="240" w:lineRule="auto"/>
            </w:pPr>
            <w:r>
              <w:rPr>
                <w:rFonts w:ascii="Calibri" w:hAnsi="Calibri" w:cs="Calibri"/>
                <w:sz w:val="20"/>
                <w:szCs w:val="20"/>
                <w:lang w:val="id-ID"/>
              </w:rPr>
              <w:t xml:space="preserve">2.2 Menganalisis dilema etika insinyur software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opini etis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kelompok</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Analisis dilema etika software engineer</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Kode Etik Profesi (IPKIN, ACM, IEEE)</w:t>
            </w:r>
          </w:p>
          <w:p>
            <w:pPr>
              <w:spacing w:before="0" w:after="0" w:line="240" w:lineRule="auto"/>
            </w:pPr>
            <w:r>
              <w:rPr>
                <w:rFonts w:ascii="Calibri" w:hAnsi="Calibri" w:cs="Calibri"/>
                <w:sz w:val="20"/>
                <w:szCs w:val="20"/>
                <w:lang w:val="id-ID"/>
              </w:rPr>
              <w:t xml:space="preserve">[1] Bab 2</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menganalisis aspek hukum Hak Kekayaan Intelektual (HKI: Hak Cipta, Paten, Lisensi Software) [A2, C3] (CPMK0106)</w:t>
            </w:r>
          </w:p>
        </w:tc>
        <w:tc>
          <w:tcPr>
            <w:tcW w:w="1701" w:type="dxa"/>
            <w:gridSpan w:val="2"/>
          </w:tcPr>
          <w:p>
            <w:pPr>
              <w:spacing w:before="0" w:after="0" w:line="240" w:lineRule="auto"/>
            </w:pPr>
            <w:r>
              <w:rPr>
                <w:rFonts w:ascii="Calibri" w:hAnsi="Calibri" w:cs="Calibri"/>
                <w:sz w:val="20"/>
                <w:szCs w:val="20"/>
                <w:lang w:val="id-ID"/>
              </w:rPr>
              <w:t xml:space="preserve">3.1 Menganalisis pasal Hak Cipta software</w:t>
            </w:r>
          </w:p>
          <w:p>
            <w:pPr>
              <w:spacing w:before="0" w:after="0" w:line="240" w:lineRule="auto"/>
            </w:pPr>
            <w:r>
              <w:rPr>
                <w:rFonts w:ascii="Calibri" w:hAnsi="Calibri" w:cs="Calibri"/>
                <w:sz w:val="20"/>
                <w:szCs w:val="20"/>
                <w:lang w:val="id-ID"/>
              </w:rPr>
              <w:t xml:space="preserve">3.2 Membedakan lisensi GPL, MIT, Proprietary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HKI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HKI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Laporan analisis lisensi software</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Hak Kekayaan Intelektual (HKI)</w:t>
            </w:r>
          </w:p>
          <w:p>
            <w:pPr>
              <w:spacing w:before="0" w:after="0" w:line="240" w:lineRule="auto"/>
            </w:pPr>
            <w:r>
              <w:rPr>
                <w:rFonts w:ascii="Calibri" w:hAnsi="Calibri" w:cs="Calibri"/>
                <w:sz w:val="20"/>
                <w:szCs w:val="20"/>
                <w:lang w:val="id-ID"/>
              </w:rPr>
              <w:t xml:space="preserve">[2] Bab 4</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menerapkan pemahaman UU ITE dan regulasi Perlindungan Data Pribadi (UU PDP) [A2, C3] (CPMK0106)</w:t>
            </w:r>
          </w:p>
        </w:tc>
        <w:tc>
          <w:tcPr>
            <w:tcW w:w="1701" w:type="dxa"/>
            <w:gridSpan w:val="2"/>
          </w:tcPr>
          <w:p>
            <w:pPr>
              <w:spacing w:before="0" w:after="0" w:line="240" w:lineRule="auto"/>
            </w:pPr>
            <w:r>
              <w:rPr>
                <w:rFonts w:ascii="Calibri" w:hAnsi="Calibri" w:cs="Calibri"/>
                <w:sz w:val="20"/>
                <w:szCs w:val="20"/>
                <w:lang w:val="id-ID"/>
              </w:rPr>
              <w:t xml:space="preserve">4.1 Menjelaskan hak subjek data pada UU PDP</w:t>
            </w:r>
          </w:p>
          <w:p>
            <w:pPr>
              <w:spacing w:before="0" w:after="0" w:line="240" w:lineRule="auto"/>
            </w:pPr>
            <w:r>
              <w:rPr>
                <w:rFonts w:ascii="Calibri" w:hAnsi="Calibri" w:cs="Calibri"/>
                <w:sz w:val="20"/>
                <w:szCs w:val="20"/>
                <w:lang w:val="id-ID"/>
              </w:rPr>
              <w:t xml:space="preserve">4.2 Memahami sanksi pelanggaran UU ITE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regulasi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Tes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Direct Instruction</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Analisis pasal UU PDP &amp; UU ITE</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Regulasi TI &amp; UU PDP / UU ITE</w:t>
            </w:r>
          </w:p>
          <w:p>
            <w:pPr>
              <w:spacing w:before="0" w:after="0" w:line="240" w:lineRule="auto"/>
            </w:pPr>
            <w:r>
              <w:rPr>
                <w:rFonts w:ascii="Calibri" w:hAnsi="Calibri" w:cs="Calibri"/>
                <w:sz w:val="20"/>
                <w:szCs w:val="20"/>
                <w:lang w:val="id-ID"/>
              </w:rPr>
              <w:t xml:space="preserve">[2] Bab 3</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Uraian &amp; Analisis Kasus Sub-CPMK1–4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menganalisis kejahatan siber (Cybercrime: Hacking, Phishing, Ransomware) dan regulasi siber [A2, C3] (CPMK0106)</w:t>
            </w:r>
          </w:p>
        </w:tc>
        <w:tc>
          <w:tcPr>
            <w:tcW w:w="1701" w:type="dxa"/>
            <w:gridSpan w:val="2"/>
          </w:tcPr>
          <w:p>
            <w:pPr>
              <w:spacing w:before="0" w:after="0" w:line="240" w:lineRule="auto"/>
            </w:pPr>
            <w:r>
              <w:rPr>
                <w:rFonts w:ascii="Calibri" w:hAnsi="Calibri" w:cs="Calibri"/>
                <w:sz w:val="20"/>
                <w:szCs w:val="20"/>
                <w:lang w:val="id-ID"/>
              </w:rPr>
              <w:t xml:space="preserve">5.1 Klasifikasi jenis kejahatan siber</w:t>
            </w:r>
          </w:p>
          <w:p>
            <w:pPr>
              <w:spacing w:before="0" w:after="0" w:line="240" w:lineRule="auto"/>
            </w:pPr>
            <w:r>
              <w:rPr>
                <w:rFonts w:ascii="Calibri" w:hAnsi="Calibri" w:cs="Calibri"/>
                <w:sz w:val="20"/>
                <w:szCs w:val="20"/>
                <w:lang w:val="id-ID"/>
              </w:rPr>
              <w:t xml:space="preserve">5.2 Analisis modus kejahatan Phishing/Ransomware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cybercrime</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Tes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Solving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Makalah analisis kasus cybercrime</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Cybercrime &amp; Hukum Siber</w:t>
            </w:r>
          </w:p>
          <w:p>
            <w:pPr>
              <w:spacing w:before="0" w:after="0" w:line="240" w:lineRule="auto"/>
            </w:pPr>
            <w:r>
              <w:rPr>
                <w:rFonts w:ascii="Calibri" w:hAnsi="Calibri" w:cs="Calibri"/>
                <w:sz w:val="20"/>
                <w:szCs w:val="20"/>
                <w:lang w:val="id-ID"/>
              </w:rPr>
              <w:t xml:space="preserve">[1] Bab 5</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menganalisis isu etika TI modern (Privasi Data, Surveillance, Etika AI, Bias Algoritma) [C3, A2] (CPMK0207)</w:t>
            </w:r>
          </w:p>
        </w:tc>
        <w:tc>
          <w:tcPr>
            <w:tcW w:w="1701" w:type="dxa"/>
            <w:gridSpan w:val="2"/>
          </w:tcPr>
          <w:p>
            <w:pPr>
              <w:spacing w:before="0" w:after="0" w:line="240" w:lineRule="auto"/>
            </w:pPr>
            <w:r>
              <w:rPr>
                <w:rFonts w:ascii="Calibri" w:hAnsi="Calibri" w:cs="Calibri"/>
                <w:sz w:val="20"/>
                <w:szCs w:val="20"/>
                <w:lang w:val="id-ID"/>
              </w:rPr>
              <w:t xml:space="preserve">6.1 Menganalisis isu etika rekomendasi AI</w:t>
            </w:r>
          </w:p>
          <w:p>
            <w:pPr>
              <w:spacing w:before="0" w:after="0" w:line="240" w:lineRule="auto"/>
            </w:pPr>
            <w:r>
              <w:rPr>
                <w:rFonts w:ascii="Calibri" w:hAnsi="Calibri" w:cs="Calibri"/>
                <w:sz w:val="20"/>
                <w:szCs w:val="20"/>
                <w:lang w:val="id-ID"/>
              </w:rPr>
              <w:t xml:space="preserve">6.2 Menganalisis isu privasi &amp; surveillance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Kedalaman argumen etika AI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artikel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Study</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Review artikel etika AI</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Isu Etika Modern (AI &amp; Privasi)</w:t>
            </w:r>
          </w:p>
          <w:p>
            <w:pPr>
              <w:spacing w:before="0" w:after="0" w:line="240" w:lineRule="auto"/>
            </w:pPr>
            <w:r>
              <w:rPr>
                <w:rFonts w:ascii="Calibri" w:hAnsi="Calibri" w:cs="Calibri"/>
                <w:sz w:val="20"/>
                <w:szCs w:val="20"/>
                <w:lang w:val="id-ID"/>
              </w:rPr>
              <w:t xml:space="preserve">[1] Bab 6</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mengkaji dan mendiskusikan studi kasus pelanggaran etika &amp; hukum TI secara berkelompok [A3, C3] (CPMK0609)</w:t>
            </w:r>
          </w:p>
        </w:tc>
        <w:tc>
          <w:tcPr>
            <w:tcW w:w="1701" w:type="dxa"/>
            <w:gridSpan w:val="2"/>
          </w:tcPr>
          <w:p>
            <w:pPr>
              <w:spacing w:before="0" w:after="0" w:line="240" w:lineRule="auto"/>
            </w:pPr>
            <w:r>
              <w:rPr>
                <w:rFonts w:ascii="Calibri" w:hAnsi="Calibri" w:cs="Calibri"/>
                <w:sz w:val="20"/>
                <w:szCs w:val="20"/>
                <w:lang w:val="id-ID"/>
              </w:rPr>
              <w:t xml:space="preserve">7.1 Merumuskan studi kasus pelanggaran etika</w:t>
            </w:r>
          </w:p>
          <w:p>
            <w:pPr>
              <w:spacing w:before="0" w:after="0" w:line="240" w:lineRule="auto"/>
            </w:pPr>
            <w:r>
              <w:rPr>
                <w:rFonts w:ascii="Calibri" w:hAnsi="Calibri" w:cs="Calibri"/>
                <w:sz w:val="20"/>
                <w:szCs w:val="20"/>
                <w:lang w:val="id-ID"/>
              </w:rPr>
              <w:t xml:space="preserve">7.2 Menyusun rekomendasi pemecahan masalah</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makalah studi kasus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Makalah</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Makalah Studi Kasus Etika Profesi</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Penyusunan Studi Kasus Etika TI</w:t>
            </w:r>
          </w:p>
          <w:p>
            <w:pPr>
              <w:spacing w:before="0" w:after="0" w:line="240" w:lineRule="auto"/>
            </w:pPr>
            <w:r>
              <w:rPr>
                <w:rFonts w:ascii="Calibri" w:hAnsi="Calibri" w:cs="Calibri"/>
                <w:sz w:val="20"/>
                <w:szCs w:val="20"/>
                <w:lang w:val="id-ID"/>
              </w:rPr>
              <w:t xml:space="preserve">[1] Bab 7</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mempresentasikan makalah studi kasus etika profesi TI dengan sikap profesional [A3, C3] (CPMK0609)</w:t>
            </w:r>
          </w:p>
        </w:tc>
        <w:tc>
          <w:tcPr>
            <w:tcW w:w="1701" w:type="dxa"/>
            <w:gridSpan w:val="2"/>
          </w:tcPr>
          <w:p>
            <w:pPr>
              <w:spacing w:before="0" w:after="0" w:line="240" w:lineRule="auto"/>
            </w:pPr>
            <w:r>
              <w:rPr>
                <w:rFonts w:ascii="Calibri" w:hAnsi="Calibri" w:cs="Calibri"/>
                <w:sz w:val="20"/>
                <w:szCs w:val="20"/>
                <w:lang w:val="id-ID"/>
              </w:rPr>
              <w:t xml:space="preserve">8.1 Kejelasan penyampaian lisan</w:t>
            </w:r>
          </w:p>
          <w:p>
            <w:pPr>
              <w:spacing w:before="0" w:after="0" w:line="240" w:lineRule="auto"/>
            </w:pPr>
            <w:r>
              <w:rPr>
                <w:rFonts w:ascii="Calibri" w:hAnsi="Calibri" w:cs="Calibri"/>
                <w:sz w:val="20"/>
                <w:szCs w:val="20"/>
                <w:lang w:val="id-ID"/>
              </w:rPr>
              <w:t xml:space="preserve">8.2 Kualitas slide &amp; sikap profesional</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Penilaian Komunikasi &amp; Presentasi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Rubrik Presentasi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kelompok</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Presentasi Studi Kasus Etika TI</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Presentasi Studi Kasus Etika TI</w:t>
            </w:r>
          </w:p>
          <w:p>
            <w:pPr>
              <w:spacing w:before="0" w:after="0" w:line="240" w:lineRule="auto"/>
            </w:pPr>
            <w:r>
              <w:rPr>
                <w:rFonts w:ascii="Calibri" w:hAnsi="Calibri" w:cs="Calibri"/>
                <w:sz w:val="20"/>
                <w:szCs w:val="20"/>
                <w:lang w:val="id-ID"/>
              </w:rPr>
              <w:t xml:space="preserve">[1] Bab 8</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Makalah &amp; Presentasi Studi Kasus Sub-CPMK5–8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melalui kuis HKI/UU ITE, makalah studi kasus etika, UTS, dan UAS/Presentasi;</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(UTS, kuis) dan non-tes (makalah studi kasus, presentasi).</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9</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9</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2</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2</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5</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8</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CPL01: 30%, CPL02: 40%, CPL06: 30%.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resume etika/dilema profesi, analisis HKI/UU ITE, serta Makalah &amp; Presentasi Studi Kasus Etika 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Dilema Etika TI</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Resume analisis dilema etika profesional komputer.</w:t>
            </w:r>
          </w:p>
          <w:p>
            <w:pPr>
              <w:spacing w:before="0" w:after="0" w:line="240" w:lineRule="auto"/>
            </w:pPr>
            <w:r>
              <w:rPr>
                <w:rFonts w:ascii="Calibri" w:hAnsi="Calibri" w:cs="Calibri"/>
                <w:sz w:val="18"/>
                <w:szCs w:val="18"/>
                <w:lang w:val="id-ID"/>
              </w:rPr>
              <w:t xml:space="preserve">Luaran: Ringkasan analisis.</w:t>
            </w:r>
          </w:p>
        </w:tc>
        <w:tc>
          <w:tcPr>
            <w:tcW w:w="2320" w:type="dxa"/>
          </w:tcPr>
          <w:p>
            <w:pPr>
              <w:spacing w:before="0" w:after="0" w:line="240" w:lineRule="auto"/>
              <w:ind w:left="284" w:hanging="284"/>
            </w:pPr>
            <w:r>
              <w:rPr>
                <w:rFonts w:ascii="Calibri" w:hAnsi="Calibri" w:cs="Calibri"/>
                <w:sz w:val="18"/>
                <w:szCs w:val="18"/>
                <w:lang w:val="id-ID"/>
              </w:rPr>
              <w:t xml:space="preserve">1. Kedalaman argumen: 50%</w:t>
            </w:r>
          </w:p>
          <w:p>
            <w:pPr>
              <w:spacing w:before="0" w:after="0" w:line="240" w:lineRule="auto"/>
              <w:ind w:left="284" w:hanging="284"/>
            </w:pPr>
            <w:r>
              <w:rPr>
                <w:rFonts w:ascii="Calibri" w:hAnsi="Calibri" w:cs="Calibri"/>
                <w:sz w:val="18"/>
                <w:szCs w:val="18"/>
                <w:lang w:val="id-ID"/>
              </w:rPr>
              <w:t xml:space="preserve">2. Tata bahasa: 50%</w:t>
            </w:r>
          </w:p>
        </w:tc>
        <w:tc>
          <w:tcPr>
            <w:tcW w:w="700" w:type="dxa"/>
          </w:tcPr>
          <w:p>
            <w:pPr>
              <w:spacing w:before="0" w:after="0" w:line="240" w:lineRule="auto"/>
              <w:jc w:val="center"/>
            </w:pPr>
            <w:r>
              <w:rPr>
                <w:rFonts w:ascii="Calibri" w:hAnsi="Calibri" w:cs="Calibri"/>
                <w:sz w:val="18"/>
                <w:szCs w:val="18"/>
                <w:lang w:val="id-ID"/>
              </w:rPr>
              <w:t xml:space="preserve">8%</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HKI &amp; UU ITE</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Studi kasus pelanggaran HKI dan UU PDP.</w:t>
            </w:r>
          </w:p>
          <w:p>
            <w:pPr>
              <w:spacing w:before="0" w:after="0" w:line="240" w:lineRule="auto"/>
            </w:pPr>
            <w:r>
              <w:rPr>
                <w:rFonts w:ascii="Calibri" w:hAnsi="Calibri" w:cs="Calibri"/>
                <w:sz w:val="18"/>
                <w:szCs w:val="18"/>
                <w:lang w:val="id-ID"/>
              </w:rPr>
              <w:t xml:space="preserve">Luaran: Laporan analisis hukum.</w:t>
            </w:r>
          </w:p>
        </w:tc>
        <w:tc>
          <w:tcPr>
            <w:tcW w:w="2320" w:type="dxa"/>
          </w:tcPr>
          <w:p>
            <w:pPr>
              <w:spacing w:before="0" w:after="0" w:line="240" w:lineRule="auto"/>
              <w:ind w:left="284" w:hanging="284"/>
            </w:pPr>
            <w:r>
              <w:rPr>
                <w:rFonts w:ascii="Calibri" w:hAnsi="Calibri" w:cs="Calibri"/>
                <w:sz w:val="18"/>
                <w:szCs w:val="18"/>
                <w:lang w:val="id-ID"/>
              </w:rPr>
              <w:t xml:space="preserve">1. Ketepatan pasal: 60%</w:t>
            </w:r>
          </w:p>
          <w:p>
            <w:pPr>
              <w:spacing w:before="0" w:after="0" w:line="240" w:lineRule="auto"/>
              <w:ind w:left="284" w:hanging="284"/>
            </w:pPr>
            <w:r>
              <w:rPr>
                <w:rFonts w:ascii="Calibri" w:hAnsi="Calibri" w:cs="Calibri"/>
                <w:sz w:val="18"/>
                <w:szCs w:val="18"/>
                <w:lang w:val="id-ID"/>
              </w:rPr>
              <w:t xml:space="preserve">2. Kerjasama: 40%</w:t>
            </w:r>
          </w:p>
        </w:tc>
        <w:tc>
          <w:tcPr>
            <w:tcW w:w="700" w:type="dxa"/>
          </w:tcPr>
          <w:p>
            <w:pPr>
              <w:spacing w:before="0" w:after="0" w:line="240" w:lineRule="auto"/>
              <w:jc w:val="center"/>
            </w:pPr>
            <w:r>
              <w:rPr>
                <w:rFonts w:ascii="Calibri" w:hAnsi="Calibri" w:cs="Calibri"/>
                <w:sz w:val="18"/>
                <w:szCs w:val="18"/>
                <w:lang w:val="id-ID"/>
              </w:rPr>
              <w:t xml:space="preserve">4%</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Makalah &amp; Presentasi Etika</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Menyusun makalah studi kasus etika TI dan mempresentasikannya.</w:t>
            </w:r>
          </w:p>
          <w:p>
            <w:pPr>
              <w:spacing w:before="0" w:after="0" w:line="240" w:lineRule="auto"/>
            </w:pPr>
            <w:r>
              <w:rPr>
                <w:rFonts w:ascii="Calibri" w:hAnsi="Calibri" w:cs="Calibri"/>
                <w:sz w:val="18"/>
                <w:szCs w:val="18"/>
                <w:lang w:val="id-ID"/>
              </w:rPr>
              <w:t xml:space="preserve">Luaran: Makalah PDF, Slide, &amp; Video.</w:t>
            </w:r>
          </w:p>
        </w:tc>
        <w:tc>
          <w:tcPr>
            <w:tcW w:w="2320" w:type="dxa"/>
          </w:tcPr>
          <w:p>
            <w:pPr>
              <w:spacing w:before="0" w:after="0" w:line="240" w:lineRule="auto"/>
              <w:ind w:left="284" w:hanging="284"/>
            </w:pPr>
            <w:r>
              <w:rPr>
                <w:rFonts w:ascii="Calibri" w:hAnsi="Calibri" w:cs="Calibri"/>
                <w:sz w:val="18"/>
                <w:szCs w:val="18"/>
                <w:lang w:val="id-ID"/>
              </w:rPr>
              <w:t xml:space="preserve">1. Kedalaman analisis: 40%</w:t>
            </w:r>
          </w:p>
          <w:p>
            <w:pPr>
              <w:spacing w:before="0" w:after="0" w:line="240" w:lineRule="auto"/>
              <w:ind w:left="284" w:hanging="284"/>
            </w:pPr>
            <w:r>
              <w:rPr>
                <w:rFonts w:ascii="Calibri" w:hAnsi="Calibri" w:cs="Calibri"/>
                <w:sz w:val="18"/>
                <w:szCs w:val="18"/>
                <w:lang w:val="id-ID"/>
              </w:rPr>
              <w:t xml:space="preserve">2. Kualitas slide: 30%</w:t>
            </w:r>
          </w:p>
          <w:p>
            <w:pPr>
              <w:spacing w:before="0" w:after="0" w:line="240" w:lineRule="auto"/>
              <w:ind w:left="284" w:hanging="284"/>
            </w:pPr>
            <w:r>
              <w:rPr>
                <w:rFonts w:ascii="Calibri" w:hAnsi="Calibri" w:cs="Calibri"/>
                <w:sz w:val="18"/>
                <w:szCs w:val="18"/>
                <w:lang w:val="id-ID"/>
              </w:rPr>
              <w:t xml:space="preserve">3. Presentasi: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presentasi dan studi kasus etika profesi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Presentasi Studi Kasus Etika 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Kedalaman Analisis Etika</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Analisis sangat kritis, tepat, &amp; solutif</w:t>
            </w:r>
          </w:p>
        </w:tc>
        <w:tc>
          <w:tcPr>
            <w:tcW w:w="1560" w:type="dxa"/>
          </w:tcPr>
          <w:p>
            <w:pPr>
              <w:spacing w:before="0" w:after="0" w:line="240" w:lineRule="auto"/>
            </w:pPr>
            <w:r>
              <w:rPr>
                <w:rFonts w:ascii="Calibri" w:hAnsi="Calibri" w:cs="Calibri"/>
                <w:sz w:val="18"/>
                <w:szCs w:val="18"/>
                <w:lang w:val="id-ID"/>
              </w:rPr>
              <w:t xml:space="preserve">Mendalam</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mendalam</w:t>
            </w:r>
          </w:p>
        </w:tc>
        <w:tc>
          <w:tcPr>
            <w:tcW w:w="1560" w:type="dxa"/>
          </w:tcPr>
          <w:p>
            <w:pPr>
              <w:spacing w:before="0" w:after="0" w:line="240" w:lineRule="auto"/>
            </w:pPr>
            <w:r>
              <w:rPr>
                <w:rFonts w:ascii="Calibri" w:hAnsi="Calibri" w:cs="Calibri"/>
                <w:sz w:val="18"/>
                <w:szCs w:val="18"/>
                <w:lang w:val="id-ID"/>
              </w:rPr>
              <w:t xml:space="preserve">Dangkal</w:t>
            </w:r>
          </w:p>
        </w:tc>
      </w:tr>
      <w:tr>
        <w:tc>
          <w:tcPr>
            <w:tcW w:w="1560" w:type="dxa"/>
          </w:tcPr>
          <w:p>
            <w:pPr>
              <w:spacing w:before="0" w:after="0" w:line="240" w:lineRule="auto"/>
            </w:pPr>
            <w:r>
              <w:rPr>
                <w:rFonts w:ascii="Calibri" w:hAnsi="Calibri" w:cs="Calibri"/>
                <w:b/>
                <w:bCs/>
                <w:sz w:val="18"/>
                <w:szCs w:val="18"/>
                <w:lang w:val="id-ID"/>
              </w:rPr>
              <w:t xml:space="preserve">Kualitas Slide Presentasi</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Slide sangat komunikatif &amp; estetis</w:t>
            </w:r>
          </w:p>
        </w:tc>
        <w:tc>
          <w:tcPr>
            <w:tcW w:w="1560" w:type="dxa"/>
          </w:tcPr>
          <w:p>
            <w:pPr>
              <w:spacing w:before="0" w:after="0" w:line="240" w:lineRule="auto"/>
            </w:pPr>
            <w:r>
              <w:rPr>
                <w:rFonts w:ascii="Calibri" w:hAnsi="Calibri" w:cs="Calibri"/>
                <w:sz w:val="18"/>
                <w:szCs w:val="18"/>
                <w:lang w:val="id-ID"/>
              </w:rPr>
              <w:t xml:space="preserve">Menarik</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menarik</w:t>
            </w:r>
          </w:p>
        </w:tc>
        <w:tc>
          <w:tcPr>
            <w:tcW w:w="1560" w:type="dxa"/>
          </w:tcPr>
          <w:p>
            <w:pPr>
              <w:spacing w:before="0" w:after="0" w:line="240" w:lineRule="auto"/>
            </w:pPr>
            <w:r>
              <w:rPr>
                <w:rFonts w:ascii="Calibri" w:hAnsi="Calibri" w:cs="Calibri"/>
                <w:sz w:val="18"/>
                <w:szCs w:val="18"/>
                <w:lang w:val="id-ID"/>
              </w:rPr>
              <w:t xml:space="preserve">Kosong/seadanya</w:t>
            </w:r>
          </w:p>
        </w:tc>
      </w:tr>
      <w:tr>
        <w:tc>
          <w:tcPr>
            <w:tcW w:w="1560" w:type="dxa"/>
          </w:tcPr>
          <w:p>
            <w:pPr>
              <w:spacing w:before="0" w:after="0" w:line="240" w:lineRule="auto"/>
            </w:pPr>
            <w:r>
              <w:rPr>
                <w:rFonts w:ascii="Calibri" w:hAnsi="Calibri" w:cs="Calibri"/>
                <w:b/>
                <w:bCs/>
                <w:sz w:val="18"/>
                <w:szCs w:val="18"/>
                <w:lang w:val="id-ID"/>
              </w:rPr>
              <w:t xml:space="preserve">Sikap &amp; Komunikasi Tim</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sangat jelas &amp; profesional</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jelas</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Etika Profesi | Kode/sks: IF260724 / 2 sks | Semester: 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Suprapto, S.Kom., M.Kom. | Waktu: 75 Menit | Sifat: Tertulis / Analisis Kasus</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w:t>
            </w:r>
            <w:r>
              <w:rPr>
                <w:rFonts w:ascii="Calibri" w:hAnsi="Calibri" w:cs="Calibri"/>
                <w:sz w:val="18"/>
                <w:szCs w:val="18"/>
                <w:lang w:val="id-ID"/>
              </w:rPr>
              <w:t xml:space="preserve"> Etika &amp; Kode Etik</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perbedaan antara Etika, Moral, dan Hukum dalam konteks profesi Teknologi Informasi.</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tcPr>
          <w:p>
            <w:pPr>
              <w:spacing w:before="0" w:after="0" w:line="240" w:lineRule="auto"/>
              <w:jc w:val="center"/>
            </w:pPr>
            <w:r>
              <w:rPr>
                <w:rFonts w:ascii="Calibri" w:hAnsi="Calibri" w:cs="Calibri"/>
                <w:b/>
                <w:bCs/>
                <w:sz w:val="18"/>
                <w:szCs w:val="18"/>
                <w:lang w:val="id-ID"/>
              </w:rPr>
              <w:t xml:space="preserve">Sub-CPMK3 &amp; Sub-CPMK4:</w:t>
            </w:r>
            <w:r>
              <w:rPr>
                <w:rFonts w:ascii="Calibri" w:hAnsi="Calibri" w:cs="Calibri"/>
                <w:sz w:val="18"/>
                <w:szCs w:val="18"/>
                <w:lang w:val="id-ID"/>
              </w:rPr>
              <w:t xml:space="preserve"> HKI &amp; UU PDP</w:t>
            </w:r>
          </w:p>
        </w:tc>
        <w:tc>
          <w:tcPr>
            <w:tcW w:w="7560" w:type="dxa"/>
          </w:tcPr>
          <w:p>
            <w:pPr>
              <w:spacing w:before="0" w:after="0" w:line="240" w:lineRule="auto"/>
            </w:pPr>
          </w:p>
        </w:tc>
        <w:tc>
          <w:tcPr>
            <w:tcW w:w="1100" w:type="dxa"/>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perbedaan cakupan perlindungan antara Hak Cipta dan Paten dalam melindungi karya perangkat lunak.</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kewajiban Pengendali Data Pribadi dan hak-hak pemilik data berdasarkan UU Perlindungan Data Pribadi (UU PDP).</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Selamat Bekerja.</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UTS menggunakan rubrik analitik etika.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Kedalaman analisis &amp; pemahaman etika</w:t>
            </w:r>
            <w:r>
              <w:rPr>
                <w:rFonts w:ascii="Calibri" w:hAnsi="Calibri" w:cs="Calibri"/>
                <w:sz w:val="18"/>
                <w:szCs w:val="18"/>
                <w:lang w:val="id-ID"/>
              </w:rPr>
              <w:t xml:space="preserve"> (70%)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r>
        <w:tc>
          <w:tcPr>
            <w:tcW w:w="1560" w:type="dxa"/>
          </w:tcPr>
          <w:p>
            <w:pPr>
              <w:spacing w:before="0" w:after="0" w:line="240" w:lineRule="auto"/>
            </w:pPr>
            <w:r>
              <w:rPr>
                <w:rFonts w:ascii="Calibri" w:hAnsi="Calibri" w:cs="Calibri"/>
                <w:b/>
                <w:bCs/>
                <w:sz w:val="18"/>
                <w:szCs w:val="18"/>
                <w:lang w:val="id-ID"/>
              </w:rPr>
              <w:t xml:space="preserve">Kelengkapan contoh pasal/kasus</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Contoh sangat relevan</w:t>
            </w:r>
          </w:p>
        </w:tc>
        <w:tc>
          <w:tcPr>
            <w:tcW w:w="1560" w:type="dxa"/>
          </w:tcPr>
          <w:p>
            <w:pPr>
              <w:spacing w:before="0" w:after="0" w:line="240" w:lineRule="auto"/>
            </w:pPr>
            <w:r>
              <w:rPr>
                <w:rFonts w:ascii="Calibri" w:hAnsi="Calibri" w:cs="Calibri"/>
                <w:sz w:val="18"/>
                <w:szCs w:val="18"/>
                <w:lang w:val="id-ID"/>
              </w:rPr>
              <w:t xml:space="preserve">Relevan</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relevan</w:t>
            </w:r>
          </w:p>
        </w:tc>
        <w:tc>
          <w:tcPr>
            <w:tcW w:w="1560" w:type="dxa"/>
          </w:tcPr>
          <w:p>
            <w:pPr>
              <w:spacing w:before="0" w:after="0" w:line="240" w:lineRule="auto"/>
            </w:pPr>
            <w:r>
              <w:rPr>
                <w:rFonts w:ascii="Calibri" w:hAnsi="Calibri" w:cs="Calibri"/>
                <w:sz w:val="18"/>
                <w:szCs w:val="18"/>
                <w:lang w:val="id-ID"/>
              </w:rPr>
              <w:t xml:space="preserve">Kosong</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(4), UTS (9)</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(4), UTS (9)</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Tugas-2 (2), UTS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Tugas-2 (2), UTS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Tugas-3 (2), UAS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Tugas-3 (2), UAS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(5), UAS (8)</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(1), Tugas-3 (4), UAS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CPL01</w:t>
            </w:r>
          </w:p>
        </w:tc>
        <w:tc>
          <w:tcPr>
            <w:tcW w:w="2000" w:type="dxa"/>
          </w:tcPr>
          <w:p>
            <w:pPr>
              <w:spacing w:before="0" w:after="0" w:line="240" w:lineRule="auto"/>
            </w:pPr>
            <w:r>
              <w:rPr>
                <w:rFonts w:ascii="Calibri" w:hAnsi="Calibri" w:cs="Calibri"/>
                <w:sz w:val="18"/>
                <w:szCs w:val="18"/>
                <w:lang w:val="id-ID"/>
              </w:rPr>
              <w:t xml:space="preserve">Sub-CPMK3, 4, 5</w:t>
            </w:r>
          </w:p>
        </w:tc>
        <w:tc>
          <w:tcPr>
            <w:tcW w:w="900" w:type="dxa"/>
          </w:tcPr>
          <w:p>
            <w:pPr>
              <w:spacing w:before="0" w:after="0" w:line="240" w:lineRule="auto"/>
              <w:jc w:val="center"/>
            </w:pPr>
            <w:r>
              <w:rPr>
                <w:rFonts w:ascii="Calibri" w:hAnsi="Calibri" w:cs="Calibri"/>
                <w:sz w:val="18"/>
                <w:szCs w:val="18"/>
                <w:lang w:val="id-ID"/>
              </w:rPr>
              <w:t xml:space="preserve">30</w:t>
            </w:r>
          </w:p>
        </w:tc>
        <w:tc>
          <w:tcPr>
            <w:tcW w:w="3760" w:type="dxa"/>
          </w:tcPr>
          <w:p>
            <w:pPr>
              <w:spacing w:before="0" w:after="0" w:line="240" w:lineRule="auto"/>
            </w:pPr>
            <w:r>
              <w:rPr>
                <w:rFonts w:ascii="Calibri" w:hAnsi="Calibri" w:cs="Calibri"/>
                <w:sz w:val="18"/>
                <w:szCs w:val="18"/>
                <w:lang w:val="id-ID"/>
              </w:rPr>
              <w:t xml:space="preserve">(N3×10 + N4×10 + N5×10) / 30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Sub-CPMK1, 2, 6</w:t>
            </w:r>
          </w:p>
        </w:tc>
        <w:tc>
          <w:tcPr>
            <w:tcW w:w="900" w:type="dxa"/>
          </w:tcPr>
          <w:p>
            <w:pPr>
              <w:spacing w:before="0" w:after="0" w:line="240" w:lineRule="auto"/>
              <w:jc w:val="center"/>
            </w:pPr>
            <w:r>
              <w:rPr>
                <w:rFonts w:ascii="Calibri" w:hAnsi="Calibri" w:cs="Calibri"/>
                <w:sz w:val="18"/>
                <w:szCs w:val="18"/>
                <w:lang w:val="id-ID"/>
              </w:rPr>
              <w:t xml:space="preserve">40</w:t>
            </w:r>
          </w:p>
        </w:tc>
        <w:tc>
          <w:tcPr>
            <w:tcW w:w="3760" w:type="dxa"/>
          </w:tcPr>
          <w:p>
            <w:pPr>
              <w:spacing w:before="0" w:after="0" w:line="240" w:lineRule="auto"/>
            </w:pPr>
            <w:r>
              <w:rPr>
                <w:rFonts w:ascii="Calibri" w:hAnsi="Calibri" w:cs="Calibri"/>
                <w:sz w:val="18"/>
                <w:szCs w:val="18"/>
                <w:lang w:val="id-ID"/>
              </w:rPr>
              <w:t xml:space="preserve">(N1×15 + N2×15 + N6×10) / 40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Sub-CPMK7, 8</w:t>
            </w:r>
          </w:p>
        </w:tc>
        <w:tc>
          <w:tcPr>
            <w:tcW w:w="900" w:type="dxa"/>
          </w:tcPr>
          <w:p>
            <w:pPr>
              <w:spacing w:before="0" w:after="0" w:line="240" w:lineRule="auto"/>
              <w:jc w:val="center"/>
            </w:pPr>
            <w:r>
              <w:rPr>
                <w:rFonts w:ascii="Calibri" w:hAnsi="Calibri" w:cs="Calibri"/>
                <w:sz w:val="18"/>
                <w:szCs w:val="18"/>
                <w:lang w:val="id-ID"/>
              </w:rPr>
              <w:t xml:space="preserve">30</w:t>
            </w:r>
          </w:p>
        </w:tc>
        <w:tc>
          <w:tcPr>
            <w:tcW w:w="3760" w:type="dxa"/>
          </w:tcPr>
          <w:p>
            <w:pPr>
              <w:spacing w:before="0" w:after="0" w:line="240" w:lineRule="auto"/>
            </w:pPr>
            <w:r>
              <w:rPr>
                <w:rFonts w:ascii="Calibri" w:hAnsi="Calibri" w:cs="Calibri"/>
                <w:sz w:val="18"/>
                <w:szCs w:val="18"/>
                <w:lang w:val="id-ID"/>
              </w:rPr>
              <w:t xml:space="preserve">(N7×15 + N8×15) / 30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